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94362C">
      <w:pPr>
        <w:ind w:firstLine="0" w:firstLineChars="0"/>
        <w:rPr>
          <w:rFonts w:hint="default" w:ascii="Times New Roman" w:hAnsi="Times New Roman" w:cs="Times New Roman"/>
          <w:b/>
          <w:color w:val="auto"/>
          <w:sz w:val="44"/>
          <w:szCs w:val="44"/>
          <w:highlight w:val="none"/>
        </w:rPr>
      </w:pPr>
    </w:p>
    <w:p w14:paraId="355391F8">
      <w:pPr>
        <w:ind w:firstLine="0" w:firstLineChars="0"/>
        <w:jc w:val="center"/>
        <w:rPr>
          <w:rFonts w:hint="default" w:ascii="Times New Roman" w:hAnsi="Times New Roman" w:eastAsia="宋体" w:cs="Times New Roman"/>
          <w:b/>
          <w:color w:val="auto"/>
          <w:sz w:val="44"/>
          <w:szCs w:val="44"/>
          <w:highlight w:val="none"/>
          <w:lang w:eastAsia="zh-CN"/>
        </w:rPr>
      </w:pPr>
      <w:r>
        <w:rPr>
          <w:rFonts w:hint="default" w:ascii="Times New Roman" w:hAnsi="Times New Roman" w:cs="Times New Roman"/>
          <w:b/>
          <w:color w:val="auto"/>
          <w:sz w:val="44"/>
          <w:szCs w:val="44"/>
          <w:highlight w:val="none"/>
          <w:lang w:eastAsia="zh-CN"/>
        </w:rPr>
        <w:t>常熟三爱富氟化工有限责任公司</w:t>
      </w:r>
    </w:p>
    <w:p w14:paraId="5BA4CF04">
      <w:pPr>
        <w:ind w:firstLine="0" w:firstLineChars="0"/>
        <w:jc w:val="center"/>
        <w:rPr>
          <w:rFonts w:hint="default" w:ascii="Times New Roman" w:hAnsi="Times New Roman" w:cs="Times New Roman"/>
          <w:b/>
          <w:color w:val="auto"/>
          <w:sz w:val="44"/>
          <w:szCs w:val="44"/>
          <w:highlight w:val="none"/>
        </w:rPr>
      </w:pPr>
      <w:r>
        <w:rPr>
          <w:rFonts w:hint="default" w:ascii="Times New Roman" w:hAnsi="Times New Roman" w:cs="Times New Roman"/>
          <w:b/>
          <w:color w:val="auto"/>
          <w:sz w:val="44"/>
          <w:szCs w:val="44"/>
          <w:highlight w:val="none"/>
        </w:rPr>
        <w:t>HCFC-141b生产线关闭项目</w:t>
      </w:r>
    </w:p>
    <w:p w14:paraId="319B8703">
      <w:pPr>
        <w:ind w:firstLine="0" w:firstLineChars="0"/>
        <w:jc w:val="center"/>
        <w:rPr>
          <w:rFonts w:hint="default" w:ascii="Times New Roman" w:hAnsi="Times New Roman" w:cs="Times New Roman"/>
          <w:b/>
          <w:color w:val="auto"/>
          <w:sz w:val="44"/>
          <w:szCs w:val="44"/>
          <w:highlight w:val="none"/>
        </w:rPr>
      </w:pPr>
      <w:r>
        <w:rPr>
          <w:rFonts w:hint="default" w:ascii="Times New Roman" w:hAnsi="Times New Roman" w:cs="Times New Roman"/>
          <w:b/>
          <w:color w:val="auto"/>
          <w:sz w:val="44"/>
          <w:szCs w:val="44"/>
          <w:highlight w:val="none"/>
        </w:rPr>
        <w:t>环境管理计划</w:t>
      </w:r>
    </w:p>
    <w:p w14:paraId="4CD8B9BF">
      <w:pPr>
        <w:widowControl/>
        <w:overflowPunct w:val="0"/>
        <w:autoSpaceDE w:val="0"/>
        <w:autoSpaceDN w:val="0"/>
        <w:adjustRightInd w:val="0"/>
        <w:spacing w:before="156" w:beforeLines="50"/>
        <w:ind w:firstLine="0" w:firstLineChars="0"/>
        <w:jc w:val="center"/>
        <w:textAlignment w:val="baseline"/>
        <w:rPr>
          <w:rFonts w:hint="default" w:ascii="Times New Roman" w:hAnsi="Times New Roman" w:cs="Times New Roman"/>
          <w:b/>
          <w:color w:val="auto"/>
          <w:kern w:val="16"/>
          <w:sz w:val="28"/>
          <w:szCs w:val="28"/>
          <w:highlight w:val="none"/>
        </w:rPr>
      </w:pPr>
      <w:r>
        <w:rPr>
          <w:rFonts w:hint="default" w:ascii="Times New Roman" w:hAnsi="Times New Roman" w:cs="Times New Roman"/>
          <w:b/>
          <w:color w:val="auto"/>
          <w:kern w:val="16"/>
          <w:sz w:val="28"/>
          <w:szCs w:val="28"/>
          <w:highlight w:val="none"/>
        </w:rPr>
        <w:t>产品名称：HCFC-141b</w:t>
      </w:r>
    </w:p>
    <w:tbl>
      <w:tblPr>
        <w:tblStyle w:val="30"/>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05"/>
      </w:tblGrid>
      <w:tr w14:paraId="028A5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05" w:type="dxa"/>
            <w:vAlign w:val="center"/>
          </w:tcPr>
          <w:p w14:paraId="2275A3CA">
            <w:pPr>
              <w:ind w:firstLine="0" w:firstLineChars="0"/>
              <w:jc w:val="center"/>
              <w:rPr>
                <w:rFonts w:hint="default" w:ascii="Times New Roman" w:hAnsi="Times New Roman" w:cs="Times New Roman"/>
                <w:color w:val="auto"/>
                <w:highlight w:val="none"/>
              </w:rPr>
            </w:pPr>
          </w:p>
          <w:p w14:paraId="1E91DD18">
            <w:pPr>
              <w:pStyle w:val="28"/>
              <w:rPr>
                <w:rFonts w:hint="default" w:ascii="Times New Roman" w:hAnsi="Times New Roman" w:cs="Times New Roman"/>
                <w:color w:val="auto"/>
                <w:highlight w:val="none"/>
              </w:rPr>
            </w:pPr>
          </w:p>
          <w:p w14:paraId="018F7A78">
            <w:pPr>
              <w:pStyle w:val="28"/>
              <w:rPr>
                <w:rFonts w:hint="default" w:ascii="Times New Roman" w:hAnsi="Times New Roman" w:cs="Times New Roman"/>
                <w:color w:val="auto"/>
                <w:highlight w:val="none"/>
              </w:rPr>
            </w:pPr>
          </w:p>
          <w:p w14:paraId="013E3C2D">
            <w:pPr>
              <w:pStyle w:val="28"/>
              <w:rPr>
                <w:rFonts w:hint="default" w:ascii="Times New Roman" w:hAnsi="Times New Roman" w:cs="Times New Roman"/>
                <w:color w:val="auto"/>
                <w:highlight w:val="none"/>
              </w:rPr>
            </w:pPr>
          </w:p>
          <w:p w14:paraId="43FFF550">
            <w:pPr>
              <w:pStyle w:val="28"/>
              <w:rPr>
                <w:rFonts w:hint="default" w:ascii="Times New Roman" w:hAnsi="Times New Roman" w:cs="Times New Roman"/>
                <w:color w:val="auto"/>
                <w:highlight w:val="none"/>
              </w:rPr>
            </w:pPr>
          </w:p>
          <w:p w14:paraId="62249CCD">
            <w:pPr>
              <w:pStyle w:val="28"/>
              <w:rPr>
                <w:rFonts w:hint="default" w:ascii="Times New Roman" w:hAnsi="Times New Roman" w:cs="Times New Roman"/>
                <w:color w:val="auto"/>
                <w:highlight w:val="none"/>
              </w:rPr>
            </w:pPr>
          </w:p>
          <w:p w14:paraId="1BE86CC8">
            <w:pPr>
              <w:pStyle w:val="28"/>
              <w:rPr>
                <w:rFonts w:hint="default" w:ascii="Times New Roman" w:hAnsi="Times New Roman" w:cs="Times New Roman"/>
                <w:color w:val="auto"/>
                <w:highlight w:val="none"/>
              </w:rPr>
            </w:pPr>
          </w:p>
          <w:p w14:paraId="67B0BF42">
            <w:pPr>
              <w:pStyle w:val="28"/>
              <w:rPr>
                <w:rFonts w:hint="default" w:ascii="Times New Roman" w:hAnsi="Times New Roman" w:cs="Times New Roman"/>
                <w:color w:val="auto"/>
                <w:highlight w:val="none"/>
              </w:rPr>
            </w:pPr>
          </w:p>
          <w:p w14:paraId="0D34922F">
            <w:pPr>
              <w:pStyle w:val="28"/>
              <w:rPr>
                <w:rFonts w:hint="default" w:ascii="Times New Roman" w:hAnsi="Times New Roman" w:cs="Times New Roman"/>
                <w:color w:val="auto"/>
                <w:highlight w:val="none"/>
              </w:rPr>
            </w:pPr>
          </w:p>
          <w:p w14:paraId="3B992A62">
            <w:pPr>
              <w:pStyle w:val="28"/>
              <w:rPr>
                <w:rFonts w:hint="default" w:ascii="Times New Roman" w:hAnsi="Times New Roman" w:cs="Times New Roman"/>
                <w:color w:val="auto"/>
                <w:highlight w:val="none"/>
              </w:rPr>
            </w:pPr>
          </w:p>
          <w:p w14:paraId="609BF4F9">
            <w:pPr>
              <w:pStyle w:val="28"/>
              <w:rPr>
                <w:rFonts w:hint="default" w:ascii="Times New Roman" w:hAnsi="Times New Roman" w:cs="Times New Roman"/>
                <w:color w:val="auto"/>
                <w:highlight w:val="none"/>
              </w:rPr>
            </w:pPr>
          </w:p>
          <w:p w14:paraId="7FF8FB8C">
            <w:pPr>
              <w:pStyle w:val="28"/>
              <w:rPr>
                <w:rFonts w:hint="default" w:ascii="Times New Roman" w:hAnsi="Times New Roman" w:cs="Times New Roman"/>
                <w:color w:val="auto"/>
                <w:highlight w:val="none"/>
              </w:rPr>
            </w:pPr>
          </w:p>
          <w:p w14:paraId="46B4065E">
            <w:pPr>
              <w:pStyle w:val="28"/>
              <w:rPr>
                <w:rFonts w:hint="default" w:ascii="Times New Roman" w:hAnsi="Times New Roman" w:cs="Times New Roman"/>
                <w:color w:val="auto"/>
                <w:highlight w:val="none"/>
              </w:rPr>
            </w:pPr>
          </w:p>
          <w:p w14:paraId="5EF605D8">
            <w:pPr>
              <w:pStyle w:val="28"/>
              <w:rPr>
                <w:rFonts w:hint="default" w:ascii="Times New Roman" w:hAnsi="Times New Roman" w:cs="Times New Roman"/>
                <w:color w:val="auto"/>
                <w:highlight w:val="none"/>
              </w:rPr>
            </w:pPr>
          </w:p>
        </w:tc>
      </w:tr>
      <w:tr w14:paraId="4C22F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05" w:type="dxa"/>
            <w:vAlign w:val="center"/>
          </w:tcPr>
          <w:p w14:paraId="2C44395C">
            <w:pPr>
              <w:widowControl/>
              <w:ind w:firstLine="0" w:firstLineChars="0"/>
              <w:rPr>
                <w:rFonts w:hint="default" w:ascii="Times New Roman" w:hAnsi="Times New Roman" w:cs="Times New Roman"/>
                <w:b/>
                <w:bCs/>
                <w:color w:val="auto"/>
                <w:kern w:val="44"/>
                <w:sz w:val="28"/>
                <w:szCs w:val="28"/>
                <w:highlight w:val="none"/>
              </w:rPr>
            </w:pPr>
          </w:p>
          <w:p w14:paraId="03977814">
            <w:pPr>
              <w:widowControl/>
              <w:ind w:firstLine="0" w:firstLineChars="0"/>
              <w:jc w:val="center"/>
              <w:rPr>
                <w:rFonts w:hint="default" w:ascii="Times New Roman" w:hAnsi="Times New Roman" w:eastAsia="宋体" w:cs="Times New Roman"/>
                <w:b/>
                <w:bCs/>
                <w:color w:val="auto"/>
                <w:kern w:val="44"/>
                <w:sz w:val="28"/>
                <w:szCs w:val="28"/>
                <w:highlight w:val="none"/>
                <w:lang w:eastAsia="zh-CN"/>
              </w:rPr>
            </w:pPr>
            <w:r>
              <w:rPr>
                <w:rFonts w:hint="default" w:ascii="Times New Roman" w:hAnsi="Times New Roman" w:cs="Times New Roman"/>
                <w:b/>
                <w:bCs/>
                <w:color w:val="auto"/>
                <w:kern w:val="44"/>
                <w:sz w:val="28"/>
                <w:szCs w:val="28"/>
                <w:highlight w:val="none"/>
                <w:lang w:val="en-US" w:eastAsia="zh-CN"/>
              </w:rPr>
              <w:t>项目实施单位：</w:t>
            </w:r>
            <w:r>
              <w:rPr>
                <w:rFonts w:hint="default" w:ascii="Times New Roman" w:hAnsi="Times New Roman" w:cs="Times New Roman"/>
                <w:b/>
                <w:bCs/>
                <w:color w:val="auto"/>
                <w:kern w:val="44"/>
                <w:sz w:val="28"/>
                <w:szCs w:val="28"/>
                <w:highlight w:val="none"/>
                <w:lang w:eastAsia="zh-CN"/>
              </w:rPr>
              <w:t>常熟三爱富氟化工有限责任公司</w:t>
            </w:r>
          </w:p>
          <w:p w14:paraId="27496C30">
            <w:pPr>
              <w:ind w:firstLine="0" w:firstLineChars="0"/>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lang w:val="en-US" w:eastAsia="zh-CN"/>
              </w:rPr>
              <w:t>协助编制单位：</w:t>
            </w:r>
            <w:r>
              <w:rPr>
                <w:rFonts w:hint="default" w:ascii="Times New Roman" w:hAnsi="Times New Roman" w:cs="Times New Roman"/>
                <w:b/>
                <w:color w:val="auto"/>
                <w:sz w:val="28"/>
                <w:szCs w:val="28"/>
                <w:highlight w:val="none"/>
              </w:rPr>
              <w:t>北京义德科技有限公司</w:t>
            </w:r>
          </w:p>
        </w:tc>
      </w:tr>
    </w:tbl>
    <w:p w14:paraId="0871D99F">
      <w:pPr>
        <w:ind w:firstLine="0" w:firstLineChars="0"/>
        <w:rPr>
          <w:rFonts w:hint="default" w:ascii="Times New Roman" w:hAnsi="Times New Roman" w:cs="Times New Roman"/>
          <w:color w:val="auto"/>
          <w:highlight w:val="none"/>
        </w:rPr>
      </w:pPr>
    </w:p>
    <w:p w14:paraId="039990C9">
      <w:pPr>
        <w:ind w:firstLine="0" w:firstLineChars="0"/>
        <w:jc w:val="center"/>
        <w:rPr>
          <w:rFonts w:hint="default" w:ascii="Times New Roman" w:hAnsi="Times New Roman" w:cs="Times New Roman"/>
          <w:b/>
          <w:color w:val="auto"/>
          <w:sz w:val="30"/>
          <w:szCs w:val="30"/>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titlePg/>
          <w:docGrid w:type="lines" w:linePitch="312" w:charSpace="0"/>
        </w:sectPr>
      </w:pPr>
      <w:r>
        <w:rPr>
          <w:rFonts w:hint="default" w:ascii="Times New Roman" w:hAnsi="Times New Roman" w:cs="Times New Roman"/>
          <w:b/>
          <w:color w:val="auto"/>
          <w:sz w:val="30"/>
          <w:szCs w:val="30"/>
          <w:highlight w:val="none"/>
        </w:rPr>
        <w:t>202</w:t>
      </w:r>
      <w:r>
        <w:rPr>
          <w:rFonts w:hint="default" w:ascii="Times New Roman" w:hAnsi="Times New Roman" w:cs="Times New Roman"/>
          <w:b/>
          <w:color w:val="auto"/>
          <w:sz w:val="30"/>
          <w:szCs w:val="30"/>
          <w:highlight w:val="none"/>
          <w:lang w:val="en-US" w:eastAsia="zh-CN"/>
        </w:rPr>
        <w:t>5</w:t>
      </w:r>
      <w:r>
        <w:rPr>
          <w:rFonts w:hint="default" w:ascii="Times New Roman" w:hAnsi="Times New Roman" w:cs="Times New Roman"/>
          <w:b/>
          <w:color w:val="auto"/>
          <w:sz w:val="30"/>
          <w:szCs w:val="30"/>
          <w:highlight w:val="none"/>
        </w:rPr>
        <w:t>年</w:t>
      </w:r>
      <w:r>
        <w:rPr>
          <w:rFonts w:hint="default" w:ascii="Times New Roman" w:hAnsi="Times New Roman" w:cs="Times New Roman"/>
          <w:b/>
          <w:color w:val="auto"/>
          <w:sz w:val="30"/>
          <w:szCs w:val="30"/>
          <w:highlight w:val="none"/>
          <w:lang w:val="en-US" w:eastAsia="zh-CN"/>
        </w:rPr>
        <w:t>4</w:t>
      </w:r>
      <w:r>
        <w:rPr>
          <w:rFonts w:hint="default" w:ascii="Times New Roman" w:hAnsi="Times New Roman" w:cs="Times New Roman"/>
          <w:b/>
          <w:color w:val="auto"/>
          <w:sz w:val="30"/>
          <w:szCs w:val="30"/>
          <w:highlight w:val="none"/>
        </w:rPr>
        <w:t>月</w:t>
      </w:r>
    </w:p>
    <w:p w14:paraId="13D0D160">
      <w:pPr>
        <w:widowControl/>
        <w:ind w:firstLine="0" w:firstLineChars="0"/>
        <w:jc w:val="left"/>
        <w:rPr>
          <w:rFonts w:hint="default" w:ascii="Times New Roman" w:hAnsi="Times New Roman" w:cs="Times New Roman"/>
          <w:b/>
          <w:color w:val="auto"/>
          <w:highlight w:val="none"/>
        </w:rPr>
      </w:pPr>
      <w:bookmarkStart w:id="0" w:name="_Toc404083527"/>
      <w:bookmarkEnd w:id="0"/>
      <w:bookmarkStart w:id="1" w:name="_Toc404083598"/>
      <w:bookmarkEnd w:id="1"/>
      <w:bookmarkStart w:id="2" w:name="_Toc404083528"/>
      <w:bookmarkEnd w:id="2"/>
      <w:bookmarkStart w:id="3" w:name="_Toc404083769"/>
      <w:bookmarkEnd w:id="3"/>
      <w:bookmarkStart w:id="4" w:name="_Toc404083698"/>
      <w:bookmarkEnd w:id="4"/>
      <w:bookmarkStart w:id="5" w:name="_Toc404083699"/>
      <w:bookmarkEnd w:id="5"/>
      <w:r>
        <w:rPr>
          <w:rFonts w:hint="default" w:ascii="Times New Roman" w:hAnsi="Times New Roman" w:cs="Times New Roman"/>
          <w:b/>
          <w:color w:val="auto"/>
          <w:highlight w:val="none"/>
        </w:rPr>
        <w:t>项目信息</w:t>
      </w:r>
    </w:p>
    <w:p w14:paraId="073BA5F8">
      <w:pPr>
        <w:widowControl/>
        <w:ind w:firstLine="0" w:firstLineChars="0"/>
        <w:jc w:val="left"/>
        <w:rPr>
          <w:rFonts w:hint="default" w:ascii="Times New Roman" w:hAnsi="Times New Roman" w:cs="Times New Roman"/>
          <w:b/>
          <w:color w:val="auto"/>
          <w:highlight w:val="none"/>
        </w:rPr>
      </w:pPr>
    </w:p>
    <w:p w14:paraId="60AE2BF0">
      <w:pPr>
        <w:widowControl/>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eastAsia="zh-CN"/>
        </w:rPr>
        <w:t>常熟三爱富氟化工有限责任公司</w:t>
      </w:r>
      <w:r>
        <w:rPr>
          <w:rFonts w:hint="default" w:ascii="Times New Roman" w:hAnsi="Times New Roman" w:cs="Times New Roman"/>
          <w:color w:val="auto"/>
          <w:highlight w:val="none"/>
        </w:rPr>
        <w:t>HCFC-141b生产线关闭项目</w:t>
      </w:r>
    </w:p>
    <w:p w14:paraId="4C15C3AC">
      <w:pPr>
        <w:widowControl/>
        <w:ind w:firstLine="0" w:firstLineChars="0"/>
        <w:jc w:val="left"/>
        <w:rPr>
          <w:rFonts w:hint="default" w:ascii="Times New Roman" w:hAnsi="Times New Roman" w:cs="Times New Roman"/>
          <w:color w:val="auto"/>
          <w:highlight w:val="none"/>
        </w:rPr>
      </w:pPr>
    </w:p>
    <w:p w14:paraId="79CBAE8D">
      <w:pPr>
        <w:widowControl/>
        <w:ind w:firstLine="0" w:firstLineChars="0"/>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项目实施单位：</w:t>
      </w:r>
      <w:r>
        <w:rPr>
          <w:rFonts w:hint="default" w:ascii="Times New Roman" w:hAnsi="Times New Roman" w:cs="Times New Roman"/>
          <w:color w:val="auto"/>
          <w:highlight w:val="none"/>
          <w:lang w:eastAsia="zh-CN"/>
        </w:rPr>
        <w:t>常熟三爱富氟化工有限责任公司</w:t>
      </w:r>
    </w:p>
    <w:p w14:paraId="47F59DA8">
      <w:pPr>
        <w:widowControl/>
        <w:ind w:firstLine="0" w:firstLineChars="0"/>
        <w:jc w:val="left"/>
        <w:rPr>
          <w:rFonts w:hint="default" w:ascii="Times New Roman" w:hAnsi="Times New Roman" w:cs="Times New Roman"/>
          <w:color w:val="auto"/>
          <w:highlight w:val="none"/>
        </w:rPr>
      </w:pPr>
    </w:p>
    <w:p w14:paraId="0397F4DC">
      <w:pPr>
        <w:widowControl/>
        <w:ind w:firstLine="0" w:firstLineChars="0"/>
        <w:jc w:val="left"/>
        <w:rPr>
          <w:rFonts w:hint="default" w:ascii="Times New Roman" w:hAnsi="Times New Roman" w:cs="Times New Roman"/>
          <w:color w:val="auto"/>
          <w:highlight w:val="none"/>
        </w:rPr>
        <w:sectPr>
          <w:footerReference r:id="rId11" w:type="default"/>
          <w:pgSz w:w="11906" w:h="16838"/>
          <w:pgMar w:top="1440" w:right="1800" w:bottom="1440" w:left="1800" w:header="794" w:footer="992" w:gutter="0"/>
          <w:pgNumType w:fmt="decimal"/>
          <w:cols w:space="425" w:num="1"/>
          <w:docGrid w:type="lines" w:linePitch="326" w:charSpace="0"/>
        </w:sectPr>
      </w:pPr>
      <w:r>
        <w:rPr>
          <w:rFonts w:hint="default" w:ascii="Times New Roman" w:hAnsi="Times New Roman" w:cs="Times New Roman"/>
          <w:color w:val="auto"/>
          <w:highlight w:val="none"/>
        </w:rPr>
        <w:t>协助编制单位：北京义德科技有限公司</w:t>
      </w:r>
    </w:p>
    <w:p w14:paraId="39EE12FB">
      <w:pPr>
        <w:ind w:firstLine="0" w:firstLineChars="0"/>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编制及修订记录</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3537"/>
        <w:gridCol w:w="2603"/>
      </w:tblGrid>
      <w:tr w14:paraId="4890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262E2F35">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报告编制</w:t>
            </w:r>
          </w:p>
        </w:tc>
      </w:tr>
      <w:tr w14:paraId="7F97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14:paraId="6A13F8F8">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具体情况</w:t>
            </w:r>
          </w:p>
        </w:tc>
        <w:tc>
          <w:tcPr>
            <w:tcW w:w="2075" w:type="pct"/>
            <w:vAlign w:val="center"/>
          </w:tcPr>
          <w:p w14:paraId="00AA7357">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参与人</w:t>
            </w:r>
          </w:p>
        </w:tc>
        <w:tc>
          <w:tcPr>
            <w:tcW w:w="1526" w:type="pct"/>
            <w:vAlign w:val="center"/>
          </w:tcPr>
          <w:p w14:paraId="3EC4E108">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日期</w:t>
            </w:r>
          </w:p>
        </w:tc>
      </w:tr>
      <w:tr w14:paraId="7BAC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14:paraId="6D7DF6F4">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报告编制</w:t>
            </w:r>
          </w:p>
        </w:tc>
        <w:tc>
          <w:tcPr>
            <w:tcW w:w="2075" w:type="pct"/>
            <w:vAlign w:val="center"/>
          </w:tcPr>
          <w:p w14:paraId="6FB0095B">
            <w:pPr>
              <w:pStyle w:val="45"/>
              <w:bidi w:val="0"/>
              <w:spacing w:line="360" w:lineRule="auto"/>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田园</w:t>
            </w:r>
          </w:p>
        </w:tc>
        <w:tc>
          <w:tcPr>
            <w:tcW w:w="1526" w:type="pct"/>
            <w:vAlign w:val="center"/>
          </w:tcPr>
          <w:p w14:paraId="527640FB">
            <w:pPr>
              <w:pStyle w:val="45"/>
              <w:bidi w:val="0"/>
              <w:spacing w:line="36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2025年1月</w:t>
            </w:r>
          </w:p>
        </w:tc>
      </w:tr>
      <w:tr w14:paraId="4A7E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14:paraId="7C7531D6">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报告审核</w:t>
            </w:r>
          </w:p>
        </w:tc>
        <w:tc>
          <w:tcPr>
            <w:tcW w:w="2075" w:type="pct"/>
            <w:vAlign w:val="center"/>
          </w:tcPr>
          <w:p w14:paraId="481DE7F4">
            <w:pPr>
              <w:pStyle w:val="45"/>
              <w:bidi w:val="0"/>
              <w:spacing w:line="36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孙雨虹</w:t>
            </w:r>
          </w:p>
        </w:tc>
        <w:tc>
          <w:tcPr>
            <w:tcW w:w="1526" w:type="pct"/>
            <w:vAlign w:val="center"/>
          </w:tcPr>
          <w:p w14:paraId="4749042A">
            <w:pPr>
              <w:pStyle w:val="45"/>
              <w:bidi w:val="0"/>
              <w:spacing w:line="36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2025年</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p>
        </w:tc>
      </w:tr>
    </w:tbl>
    <w:p w14:paraId="63C8E8AA">
      <w:pPr>
        <w:spacing w:line="360" w:lineRule="auto"/>
        <w:ind w:firstLine="0" w:firstLineChars="0"/>
        <w:rPr>
          <w:rFonts w:hint="default" w:ascii="Times New Roman" w:hAnsi="Times New Roman" w:cs="Times New Roman"/>
          <w:b/>
          <w:color w:val="auto"/>
          <w:sz w:val="24"/>
          <w:szCs w:val="24"/>
          <w:highlight w:val="none"/>
        </w:rPr>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514"/>
        <w:gridCol w:w="1912"/>
        <w:gridCol w:w="1456"/>
        <w:gridCol w:w="1050"/>
        <w:gridCol w:w="1381"/>
      </w:tblGrid>
      <w:tr w14:paraId="6D67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14:paraId="6687BF1B">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报告修订</w:t>
            </w:r>
          </w:p>
        </w:tc>
      </w:tr>
      <w:tr w14:paraId="215E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pct"/>
            <w:vAlign w:val="center"/>
          </w:tcPr>
          <w:p w14:paraId="7E449DB1">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修订版本</w:t>
            </w:r>
          </w:p>
        </w:tc>
        <w:tc>
          <w:tcPr>
            <w:tcW w:w="888" w:type="pct"/>
            <w:vAlign w:val="center"/>
          </w:tcPr>
          <w:p w14:paraId="0138CCD7">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具体情况</w:t>
            </w:r>
          </w:p>
        </w:tc>
        <w:tc>
          <w:tcPr>
            <w:tcW w:w="1122" w:type="pct"/>
            <w:vAlign w:val="center"/>
          </w:tcPr>
          <w:p w14:paraId="54C2087B">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日期</w:t>
            </w:r>
          </w:p>
        </w:tc>
        <w:tc>
          <w:tcPr>
            <w:tcW w:w="854" w:type="pct"/>
            <w:vAlign w:val="center"/>
          </w:tcPr>
          <w:p w14:paraId="07A7F925">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修订内容</w:t>
            </w:r>
          </w:p>
        </w:tc>
        <w:tc>
          <w:tcPr>
            <w:tcW w:w="616" w:type="pct"/>
            <w:vAlign w:val="center"/>
          </w:tcPr>
          <w:p w14:paraId="5F1995B4">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修订人</w:t>
            </w:r>
          </w:p>
        </w:tc>
        <w:tc>
          <w:tcPr>
            <w:tcW w:w="807" w:type="pct"/>
            <w:vAlign w:val="center"/>
          </w:tcPr>
          <w:p w14:paraId="08692C04">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审核人</w:t>
            </w:r>
          </w:p>
        </w:tc>
      </w:tr>
      <w:tr w14:paraId="2BC1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pct"/>
            <w:vAlign w:val="center"/>
          </w:tcPr>
          <w:p w14:paraId="79E01F65">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w:t>
            </w:r>
          </w:p>
        </w:tc>
        <w:tc>
          <w:tcPr>
            <w:tcW w:w="888" w:type="pct"/>
            <w:vAlign w:val="center"/>
          </w:tcPr>
          <w:p w14:paraId="5B778B08">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形成初稿</w:t>
            </w:r>
          </w:p>
        </w:tc>
        <w:tc>
          <w:tcPr>
            <w:tcW w:w="1122" w:type="pct"/>
            <w:vAlign w:val="center"/>
          </w:tcPr>
          <w:p w14:paraId="774BE0A7">
            <w:pPr>
              <w:pStyle w:val="45"/>
              <w:bidi w:val="0"/>
              <w:spacing w:line="360" w:lineRule="auto"/>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2025年2月</w:t>
            </w:r>
          </w:p>
        </w:tc>
        <w:tc>
          <w:tcPr>
            <w:tcW w:w="854" w:type="pct"/>
            <w:vAlign w:val="center"/>
          </w:tcPr>
          <w:p w14:paraId="4D36D283">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初稿</w:t>
            </w:r>
          </w:p>
        </w:tc>
        <w:tc>
          <w:tcPr>
            <w:tcW w:w="616" w:type="pct"/>
            <w:vAlign w:val="center"/>
          </w:tcPr>
          <w:p w14:paraId="0C681514">
            <w:pPr>
              <w:pStyle w:val="45"/>
              <w:bidi w:val="0"/>
              <w:spacing w:line="360" w:lineRule="auto"/>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田园</w:t>
            </w:r>
          </w:p>
        </w:tc>
        <w:tc>
          <w:tcPr>
            <w:tcW w:w="807" w:type="pct"/>
            <w:vAlign w:val="center"/>
          </w:tcPr>
          <w:p w14:paraId="68B62F74">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孙雨虹</w:t>
            </w:r>
          </w:p>
        </w:tc>
      </w:tr>
      <w:tr w14:paraId="21B0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pct"/>
            <w:vAlign w:val="center"/>
          </w:tcPr>
          <w:p w14:paraId="617CFD51">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w:t>
            </w:r>
          </w:p>
        </w:tc>
        <w:tc>
          <w:tcPr>
            <w:tcW w:w="888" w:type="pct"/>
            <w:vAlign w:val="center"/>
          </w:tcPr>
          <w:p w14:paraId="2884A766">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第一次修订</w:t>
            </w:r>
          </w:p>
        </w:tc>
        <w:tc>
          <w:tcPr>
            <w:tcW w:w="1122" w:type="pct"/>
            <w:vAlign w:val="center"/>
          </w:tcPr>
          <w:p w14:paraId="529CB311">
            <w:pPr>
              <w:pStyle w:val="45"/>
              <w:bidi w:val="0"/>
              <w:spacing w:line="36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2025年4月</w:t>
            </w:r>
          </w:p>
        </w:tc>
        <w:tc>
          <w:tcPr>
            <w:tcW w:w="854" w:type="pct"/>
            <w:vAlign w:val="center"/>
          </w:tcPr>
          <w:p w14:paraId="4E937C76">
            <w:pPr>
              <w:pStyle w:val="45"/>
              <w:bidi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正文、图件</w:t>
            </w:r>
          </w:p>
        </w:tc>
        <w:tc>
          <w:tcPr>
            <w:tcW w:w="616" w:type="pct"/>
            <w:vAlign w:val="center"/>
          </w:tcPr>
          <w:p w14:paraId="317BC5C0">
            <w:pPr>
              <w:pStyle w:val="45"/>
              <w:bidi w:val="0"/>
              <w:spacing w:line="36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田园</w:t>
            </w:r>
          </w:p>
        </w:tc>
        <w:tc>
          <w:tcPr>
            <w:tcW w:w="807" w:type="pct"/>
            <w:vAlign w:val="center"/>
          </w:tcPr>
          <w:p w14:paraId="18560731">
            <w:pPr>
              <w:pStyle w:val="45"/>
              <w:bidi w:val="0"/>
              <w:spacing w:line="36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孙雨虹</w:t>
            </w:r>
          </w:p>
        </w:tc>
      </w:tr>
    </w:tbl>
    <w:p w14:paraId="56C0B104">
      <w:pPr>
        <w:bidi w:val="0"/>
        <w:ind w:left="0" w:leftChars="0" w:firstLine="0" w:firstLineChars="0"/>
        <w:rPr>
          <w:rFonts w:hint="default" w:ascii="Times New Roman" w:hAnsi="Times New Roman" w:cs="Times New Roman"/>
          <w:color w:val="auto"/>
          <w:highlight w:val="none"/>
          <w:lang w:val="zh-CN"/>
        </w:rPr>
      </w:pPr>
    </w:p>
    <w:p w14:paraId="59DD199A">
      <w:pPr>
        <w:bidi w:val="0"/>
        <w:rPr>
          <w:rFonts w:hint="default" w:ascii="Times New Roman" w:hAnsi="Times New Roman" w:cs="Times New Roman"/>
          <w:color w:val="auto"/>
          <w:highlight w:val="none"/>
          <w:lang w:val="zh-CN"/>
        </w:rPr>
        <w:sectPr>
          <w:pgSz w:w="11906" w:h="16838"/>
          <w:pgMar w:top="1440" w:right="1800" w:bottom="1440" w:left="1800" w:header="794" w:footer="992" w:gutter="0"/>
          <w:pgNumType w:fmt="decimal"/>
          <w:cols w:space="425" w:num="1"/>
          <w:docGrid w:type="lines" w:linePitch="326" w:charSpace="0"/>
        </w:sectPr>
      </w:pPr>
    </w:p>
    <w:sdt>
      <w:sdtPr>
        <w:rPr>
          <w:rFonts w:hint="default" w:ascii="Times New Roman" w:hAnsi="Times New Roman" w:eastAsia="宋体" w:cs="Times New Roman"/>
          <w:color w:val="auto"/>
          <w:kern w:val="2"/>
          <w:sz w:val="24"/>
          <w:szCs w:val="22"/>
          <w:highlight w:val="none"/>
          <w:lang w:val="zh-CN"/>
        </w:rPr>
        <w:id w:val="-1970895103"/>
        <w:docPartObj>
          <w:docPartGallery w:val="Table of Contents"/>
          <w:docPartUnique/>
        </w:docPartObj>
      </w:sdtPr>
      <w:sdtEndPr>
        <w:rPr>
          <w:rFonts w:hint="default" w:ascii="Times New Roman" w:hAnsi="Times New Roman" w:eastAsia="宋体" w:cs="Times New Roman"/>
          <w:b/>
          <w:bCs/>
          <w:color w:val="auto"/>
          <w:kern w:val="2"/>
          <w:sz w:val="24"/>
          <w:szCs w:val="22"/>
          <w:highlight w:val="none"/>
          <w:lang w:val="zh-CN"/>
        </w:rPr>
      </w:sdtEndPr>
      <w:sdtContent>
        <w:p w14:paraId="0BD73F80">
          <w:pPr>
            <w:pStyle w:val="52"/>
            <w:keepNext/>
            <w:keepLines/>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eastAsiaTheme="minorEastAsia"/>
              <w:b/>
              <w:color w:val="auto"/>
              <w:sz w:val="24"/>
              <w:szCs w:val="24"/>
              <w:highlight w:val="none"/>
            </w:rPr>
          </w:pPr>
          <w:bookmarkStart w:id="6" w:name="_Toc406099523"/>
          <w:r>
            <w:rPr>
              <w:rFonts w:hint="default" w:ascii="Times New Roman" w:hAnsi="Times New Roman" w:cs="Times New Roman" w:eastAsiaTheme="minorEastAsia"/>
              <w:b/>
              <w:color w:val="auto"/>
              <w:sz w:val="24"/>
              <w:szCs w:val="24"/>
              <w:highlight w:val="none"/>
              <w:lang w:val="zh-CN"/>
            </w:rPr>
            <w:t>目录</w:t>
          </w:r>
        </w:p>
        <w:p w14:paraId="6F58519D">
          <w:pPr>
            <w:pStyle w:val="21"/>
            <w:tabs>
              <w:tab w:val="right" w:leader="dot" w:pos="8306"/>
              <w:tab w:val="clear" w:pos="426"/>
              <w:tab w:val="clear" w:pos="8296"/>
            </w:tabs>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TOC \o "1-3" \h \z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highlight w:val="none"/>
            </w:rPr>
            <w:instrText xml:space="preserve"> HYPERLINK \l _Toc29384 </w:instrText>
          </w:r>
          <w:r>
            <w:rPr>
              <w:rFonts w:hint="default" w:ascii="Times New Roman" w:hAnsi="Times New Roman" w:cs="Times New Roman"/>
              <w:highlight w:val="none"/>
            </w:rPr>
            <w:fldChar w:fldCharType="separate"/>
          </w:r>
          <w:r>
            <w:rPr>
              <w:rFonts w:hint="default" w:ascii="Times New Roman" w:hAnsi="Times New Roman" w:cs="Times New Roman"/>
              <w:highlight w:val="none"/>
              <w:lang w:val="en-US" w:eastAsia="zh-CN"/>
            </w:rPr>
            <w:t xml:space="preserve">1 </w:t>
          </w:r>
          <w:r>
            <w:rPr>
              <w:rFonts w:hint="default" w:ascii="Times New Roman" w:hAnsi="Times New Roman" w:cs="Times New Roman"/>
              <w:highlight w:val="none"/>
            </w:rPr>
            <w:t>概述</w:t>
          </w:r>
          <w:r>
            <w:tab/>
          </w:r>
          <w:r>
            <w:fldChar w:fldCharType="begin"/>
          </w:r>
          <w:r>
            <w:instrText xml:space="preserve"> PAGEREF _Toc29384 \h </w:instrText>
          </w:r>
          <w:r>
            <w:fldChar w:fldCharType="separate"/>
          </w:r>
          <w:r>
            <w:t>1</w:t>
          </w:r>
          <w:r>
            <w:fldChar w:fldCharType="end"/>
          </w:r>
          <w:r>
            <w:rPr>
              <w:rFonts w:hint="default" w:ascii="Times New Roman" w:hAnsi="Times New Roman" w:cs="Times New Roman"/>
              <w:color w:val="auto"/>
              <w:highlight w:val="none"/>
            </w:rPr>
            <w:fldChar w:fldCharType="end"/>
          </w:r>
        </w:p>
        <w:p w14:paraId="7E35E9C4">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_Toc29645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1.1 </w:t>
          </w:r>
          <w:r>
            <w:rPr>
              <w:rFonts w:hint="default" w:ascii="Times New Roman" w:hAnsi="Times New Roman" w:cs="Times New Roman"/>
              <w:highlight w:val="none"/>
            </w:rPr>
            <w:t>项目概况</w:t>
          </w:r>
          <w:r>
            <w:tab/>
          </w:r>
          <w:r>
            <w:fldChar w:fldCharType="begin"/>
          </w:r>
          <w:r>
            <w:instrText xml:space="preserve"> PAGEREF _Toc29645 \h </w:instrText>
          </w:r>
          <w:r>
            <w:fldChar w:fldCharType="separate"/>
          </w:r>
          <w:r>
            <w:t>2</w:t>
          </w:r>
          <w:r>
            <w:fldChar w:fldCharType="end"/>
          </w:r>
          <w:r>
            <w:rPr>
              <w:rFonts w:hint="default" w:ascii="Times New Roman" w:hAnsi="Times New Roman" w:cs="Times New Roman"/>
              <w:bCs/>
              <w:color w:val="auto"/>
              <w:highlight w:val="none"/>
              <w:lang w:val="zh-CN"/>
            </w:rPr>
            <w:fldChar w:fldCharType="end"/>
          </w:r>
        </w:p>
        <w:p w14:paraId="7521907F">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_Toc20384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1.1.1 </w:t>
          </w:r>
          <w:r>
            <w:rPr>
              <w:rFonts w:hint="default" w:ascii="Times New Roman" w:hAnsi="Times New Roman" w:cs="Times New Roman"/>
              <w:highlight w:val="none"/>
            </w:rPr>
            <w:t>企业概况</w:t>
          </w:r>
          <w:r>
            <w:tab/>
          </w:r>
          <w:r>
            <w:fldChar w:fldCharType="begin"/>
          </w:r>
          <w:r>
            <w:instrText xml:space="preserve"> PAGEREF _Toc20384 \h </w:instrText>
          </w:r>
          <w:r>
            <w:fldChar w:fldCharType="separate"/>
          </w:r>
          <w:r>
            <w:t>2</w:t>
          </w:r>
          <w:r>
            <w:fldChar w:fldCharType="end"/>
          </w:r>
          <w:r>
            <w:rPr>
              <w:rFonts w:hint="default" w:ascii="Times New Roman" w:hAnsi="Times New Roman" w:cs="Times New Roman"/>
              <w:bCs/>
              <w:color w:val="auto"/>
              <w:highlight w:val="none"/>
              <w:lang w:val="zh-CN"/>
            </w:rPr>
            <w:fldChar w:fldCharType="end"/>
          </w:r>
        </w:p>
        <w:p w14:paraId="06B6CCD9">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_Toc2040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1.1.2 </w:t>
          </w:r>
          <w:r>
            <w:rPr>
              <w:rFonts w:hint="default" w:ascii="Times New Roman" w:hAnsi="Times New Roman" w:cs="Times New Roman"/>
              <w:highlight w:val="none"/>
            </w:rPr>
            <w:t>HCFC-141b</w:t>
          </w:r>
          <w:r>
            <w:rPr>
              <w:rFonts w:hint="default" w:ascii="Times New Roman" w:hAnsi="Times New Roman" w:cs="Times New Roman"/>
              <w:highlight w:val="none"/>
              <w:lang w:val="en-US" w:eastAsia="zh-CN"/>
            </w:rPr>
            <w:t>项目工程分析</w:t>
          </w:r>
          <w:r>
            <w:tab/>
          </w:r>
          <w:r>
            <w:fldChar w:fldCharType="begin"/>
          </w:r>
          <w:r>
            <w:instrText xml:space="preserve"> PAGEREF _Toc2040 \h </w:instrText>
          </w:r>
          <w:r>
            <w:fldChar w:fldCharType="separate"/>
          </w:r>
          <w:r>
            <w:t>20</w:t>
          </w:r>
          <w:r>
            <w:fldChar w:fldCharType="end"/>
          </w:r>
          <w:r>
            <w:rPr>
              <w:rFonts w:hint="default" w:ascii="Times New Roman" w:hAnsi="Times New Roman" w:cs="Times New Roman"/>
              <w:bCs/>
              <w:color w:val="auto"/>
              <w:highlight w:val="none"/>
              <w:lang w:val="zh-CN"/>
            </w:rPr>
            <w:fldChar w:fldCharType="end"/>
          </w:r>
        </w:p>
        <w:p w14:paraId="165C9362">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_Toc552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1.1.3 </w:t>
          </w:r>
          <w:r>
            <w:rPr>
              <w:rFonts w:hint="default" w:ascii="Times New Roman" w:hAnsi="Times New Roman" w:cs="Times New Roman"/>
              <w:highlight w:val="none"/>
            </w:rPr>
            <w:t>HCFC-141b生产线现状</w:t>
          </w:r>
          <w:r>
            <w:tab/>
          </w:r>
          <w:r>
            <w:fldChar w:fldCharType="begin"/>
          </w:r>
          <w:r>
            <w:instrText xml:space="preserve"> PAGEREF _Toc552 \h </w:instrText>
          </w:r>
          <w:r>
            <w:fldChar w:fldCharType="separate"/>
          </w:r>
          <w:r>
            <w:t>23</w:t>
          </w:r>
          <w:r>
            <w:fldChar w:fldCharType="end"/>
          </w:r>
          <w:r>
            <w:rPr>
              <w:rFonts w:hint="default" w:ascii="Times New Roman" w:hAnsi="Times New Roman" w:cs="Times New Roman"/>
              <w:bCs/>
              <w:color w:val="auto"/>
              <w:highlight w:val="none"/>
              <w:lang w:val="zh-CN"/>
            </w:rPr>
            <w:fldChar w:fldCharType="end"/>
          </w:r>
        </w:p>
        <w:p w14:paraId="7E3CD1FF">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_Toc21977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1.1.4 </w:t>
          </w:r>
          <w:r>
            <w:rPr>
              <w:rFonts w:hint="default" w:ascii="Times New Roman" w:hAnsi="Times New Roman" w:cs="Times New Roman"/>
              <w:highlight w:val="none"/>
            </w:rPr>
            <w:t>HCFC-141b生产线拆除工程概况</w:t>
          </w:r>
          <w:r>
            <w:tab/>
          </w:r>
          <w:r>
            <w:fldChar w:fldCharType="begin"/>
          </w:r>
          <w:r>
            <w:instrText xml:space="preserve"> PAGEREF _Toc21977 \h </w:instrText>
          </w:r>
          <w:r>
            <w:fldChar w:fldCharType="separate"/>
          </w:r>
          <w:r>
            <w:t>23</w:t>
          </w:r>
          <w:r>
            <w:fldChar w:fldCharType="end"/>
          </w:r>
          <w:r>
            <w:rPr>
              <w:rFonts w:hint="default" w:ascii="Times New Roman" w:hAnsi="Times New Roman" w:cs="Times New Roman"/>
              <w:bCs/>
              <w:color w:val="auto"/>
              <w:highlight w:val="none"/>
              <w:lang w:val="zh-CN"/>
            </w:rPr>
            <w:fldChar w:fldCharType="end"/>
          </w:r>
        </w:p>
        <w:p w14:paraId="5D09FCB5">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_Toc20531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1.1.5</w:t>
          </w:r>
          <w:r>
            <w:rPr>
              <w:rFonts w:hint="default" w:ascii="Times New Roman" w:hAnsi="Times New Roman" w:cs="Times New Roman"/>
              <w:highlight w:val="none"/>
            </w:rPr>
            <w:t>拆除项目方案</w:t>
          </w:r>
          <w:r>
            <w:tab/>
          </w:r>
          <w:r>
            <w:fldChar w:fldCharType="begin"/>
          </w:r>
          <w:r>
            <w:instrText xml:space="preserve"> PAGEREF _Toc20531 \h </w:instrText>
          </w:r>
          <w:r>
            <w:fldChar w:fldCharType="separate"/>
          </w:r>
          <w:r>
            <w:t>25</w:t>
          </w:r>
          <w:r>
            <w:fldChar w:fldCharType="end"/>
          </w:r>
          <w:r>
            <w:rPr>
              <w:rFonts w:hint="default" w:ascii="Times New Roman" w:hAnsi="Times New Roman" w:cs="Times New Roman"/>
              <w:bCs/>
              <w:color w:val="auto"/>
              <w:highlight w:val="none"/>
              <w:lang w:val="zh-CN"/>
            </w:rPr>
            <w:fldChar w:fldCharType="end"/>
          </w:r>
        </w:p>
        <w:p w14:paraId="73F4BC1A">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_Toc3154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1.2 </w:t>
          </w:r>
          <w:r>
            <w:rPr>
              <w:rFonts w:hint="default" w:ascii="Times New Roman" w:hAnsi="Times New Roman" w:cs="Times New Roman"/>
              <w:highlight w:val="none"/>
            </w:rPr>
            <w:t>项目位置</w:t>
          </w:r>
          <w:r>
            <w:tab/>
          </w:r>
          <w:r>
            <w:fldChar w:fldCharType="begin"/>
          </w:r>
          <w:r>
            <w:instrText xml:space="preserve"> PAGEREF _Toc3154 \h </w:instrText>
          </w:r>
          <w:r>
            <w:fldChar w:fldCharType="separate"/>
          </w:r>
          <w:r>
            <w:t>27</w:t>
          </w:r>
          <w:r>
            <w:fldChar w:fldCharType="end"/>
          </w:r>
          <w:r>
            <w:rPr>
              <w:rFonts w:hint="default" w:ascii="Times New Roman" w:hAnsi="Times New Roman" w:cs="Times New Roman"/>
              <w:bCs/>
              <w:color w:val="auto"/>
              <w:highlight w:val="none"/>
              <w:lang w:val="zh-CN"/>
            </w:rPr>
            <w:fldChar w:fldCharType="end"/>
          </w:r>
        </w:p>
        <w:p w14:paraId="2159E36F">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_Toc29730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1.3 </w:t>
          </w:r>
          <w:r>
            <w:rPr>
              <w:rFonts w:hint="default" w:ascii="Times New Roman" w:hAnsi="Times New Roman" w:cs="Times New Roman"/>
              <w:highlight w:val="none"/>
            </w:rPr>
            <w:t>环境管理计划目标</w:t>
          </w:r>
          <w:r>
            <w:tab/>
          </w:r>
          <w:r>
            <w:fldChar w:fldCharType="begin"/>
          </w:r>
          <w:r>
            <w:instrText xml:space="preserve"> PAGEREF _Toc29730 \h </w:instrText>
          </w:r>
          <w:r>
            <w:fldChar w:fldCharType="separate"/>
          </w:r>
          <w:r>
            <w:t>29</w:t>
          </w:r>
          <w:r>
            <w:fldChar w:fldCharType="end"/>
          </w:r>
          <w:r>
            <w:rPr>
              <w:rFonts w:hint="default" w:ascii="Times New Roman" w:hAnsi="Times New Roman" w:cs="Times New Roman"/>
              <w:bCs/>
              <w:color w:val="auto"/>
              <w:highlight w:val="none"/>
              <w:lang w:val="zh-CN"/>
            </w:rPr>
            <w:fldChar w:fldCharType="end"/>
          </w:r>
        </w:p>
        <w:p w14:paraId="1397287D">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_Toc20250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1.4 </w:t>
          </w:r>
          <w:r>
            <w:rPr>
              <w:rFonts w:hint="default" w:ascii="Times New Roman" w:hAnsi="Times New Roman" w:cs="Times New Roman"/>
              <w:highlight w:val="none"/>
            </w:rPr>
            <w:t>环境管理计划内容</w:t>
          </w:r>
          <w:r>
            <w:tab/>
          </w:r>
          <w:r>
            <w:fldChar w:fldCharType="begin"/>
          </w:r>
          <w:r>
            <w:instrText xml:space="preserve"> PAGEREF _Toc20250 \h </w:instrText>
          </w:r>
          <w:r>
            <w:fldChar w:fldCharType="separate"/>
          </w:r>
          <w:r>
            <w:t>30</w:t>
          </w:r>
          <w:r>
            <w:fldChar w:fldCharType="end"/>
          </w:r>
          <w:r>
            <w:rPr>
              <w:rFonts w:hint="default" w:ascii="Times New Roman" w:hAnsi="Times New Roman" w:cs="Times New Roman"/>
              <w:bCs/>
              <w:color w:val="auto"/>
              <w:highlight w:val="none"/>
              <w:lang w:val="zh-CN"/>
            </w:rPr>
            <w:fldChar w:fldCharType="end"/>
          </w:r>
        </w:p>
        <w:p w14:paraId="3E67B02B">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_Toc4648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1.5 </w:t>
          </w:r>
          <w:r>
            <w:rPr>
              <w:rFonts w:hint="default" w:ascii="Times New Roman" w:hAnsi="Times New Roman" w:cs="Times New Roman"/>
              <w:highlight w:val="none"/>
            </w:rPr>
            <w:t>编制依据</w:t>
          </w:r>
          <w:r>
            <w:tab/>
          </w:r>
          <w:r>
            <w:fldChar w:fldCharType="begin"/>
          </w:r>
          <w:r>
            <w:instrText xml:space="preserve"> PAGEREF _Toc4648 \h </w:instrText>
          </w:r>
          <w:r>
            <w:fldChar w:fldCharType="separate"/>
          </w:r>
          <w:r>
            <w:t>30</w:t>
          </w:r>
          <w:r>
            <w:fldChar w:fldCharType="end"/>
          </w:r>
          <w:r>
            <w:rPr>
              <w:rFonts w:hint="default" w:ascii="Times New Roman" w:hAnsi="Times New Roman" w:cs="Times New Roman"/>
              <w:bCs/>
              <w:color w:val="auto"/>
              <w:highlight w:val="none"/>
              <w:lang w:val="zh-CN"/>
            </w:rPr>
            <w:fldChar w:fldCharType="end"/>
          </w:r>
        </w:p>
        <w:p w14:paraId="0DAC96A6">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_Toc27534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1.5.1 </w:t>
          </w:r>
          <w:r>
            <w:rPr>
              <w:rFonts w:hint="default" w:ascii="Times New Roman" w:hAnsi="Times New Roman" w:cs="Times New Roman"/>
              <w:highlight w:val="none"/>
            </w:rPr>
            <w:t>国家及地方法律法规、政策</w:t>
          </w:r>
          <w:r>
            <w:tab/>
          </w:r>
          <w:r>
            <w:fldChar w:fldCharType="begin"/>
          </w:r>
          <w:r>
            <w:instrText xml:space="preserve"> PAGEREF _Toc27534 \h </w:instrText>
          </w:r>
          <w:r>
            <w:fldChar w:fldCharType="separate"/>
          </w:r>
          <w:r>
            <w:t>30</w:t>
          </w:r>
          <w:r>
            <w:fldChar w:fldCharType="end"/>
          </w:r>
          <w:r>
            <w:rPr>
              <w:rFonts w:hint="default" w:ascii="Times New Roman" w:hAnsi="Times New Roman" w:cs="Times New Roman"/>
              <w:bCs/>
              <w:color w:val="auto"/>
              <w:highlight w:val="none"/>
              <w:lang w:val="zh-CN"/>
            </w:rPr>
            <w:fldChar w:fldCharType="end"/>
          </w:r>
        </w:p>
        <w:p w14:paraId="6E2542A5">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_Toc23642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1.5.2 </w:t>
          </w:r>
          <w:r>
            <w:rPr>
              <w:rFonts w:hint="default" w:ascii="Times New Roman" w:hAnsi="Times New Roman" w:cs="Times New Roman"/>
              <w:highlight w:val="none"/>
            </w:rPr>
            <w:t>世界银行相关规定</w:t>
          </w:r>
          <w:r>
            <w:tab/>
          </w:r>
          <w:r>
            <w:fldChar w:fldCharType="begin"/>
          </w:r>
          <w:r>
            <w:instrText xml:space="preserve"> PAGEREF _Toc23642 \h </w:instrText>
          </w:r>
          <w:r>
            <w:fldChar w:fldCharType="separate"/>
          </w:r>
          <w:r>
            <w:t>32</w:t>
          </w:r>
          <w:r>
            <w:fldChar w:fldCharType="end"/>
          </w:r>
          <w:r>
            <w:rPr>
              <w:rFonts w:hint="default" w:ascii="Times New Roman" w:hAnsi="Times New Roman" w:cs="Times New Roman"/>
              <w:bCs/>
              <w:color w:val="auto"/>
              <w:highlight w:val="none"/>
              <w:lang w:val="zh-CN"/>
            </w:rPr>
            <w:fldChar w:fldCharType="end"/>
          </w:r>
        </w:p>
        <w:p w14:paraId="673F1375">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_Toc9458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1.5.3 </w:t>
          </w:r>
          <w:r>
            <w:rPr>
              <w:rFonts w:hint="default" w:ascii="Times New Roman" w:hAnsi="Times New Roman" w:cs="Times New Roman"/>
              <w:highlight w:val="none"/>
            </w:rPr>
            <w:t>项目支持文件</w:t>
          </w:r>
          <w:r>
            <w:tab/>
          </w:r>
          <w:r>
            <w:fldChar w:fldCharType="begin"/>
          </w:r>
          <w:r>
            <w:instrText xml:space="preserve"> PAGEREF _Toc9458 \h </w:instrText>
          </w:r>
          <w:r>
            <w:fldChar w:fldCharType="separate"/>
          </w:r>
          <w:r>
            <w:t>36</w:t>
          </w:r>
          <w:r>
            <w:fldChar w:fldCharType="end"/>
          </w:r>
          <w:r>
            <w:rPr>
              <w:rFonts w:hint="default" w:ascii="Times New Roman" w:hAnsi="Times New Roman" w:cs="Times New Roman"/>
              <w:bCs/>
              <w:color w:val="auto"/>
              <w:highlight w:val="none"/>
              <w:lang w:val="zh-CN"/>
            </w:rPr>
            <w:fldChar w:fldCharType="end"/>
          </w:r>
        </w:p>
        <w:p w14:paraId="1F0152D7">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_Toc1123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1.5.4 </w:t>
          </w:r>
          <w:r>
            <w:rPr>
              <w:rFonts w:hint="default" w:ascii="Times New Roman" w:hAnsi="Times New Roman" w:cs="Times New Roman"/>
              <w:highlight w:val="none"/>
            </w:rPr>
            <w:t>项目执行标准</w:t>
          </w:r>
          <w:r>
            <w:tab/>
          </w:r>
          <w:r>
            <w:fldChar w:fldCharType="begin"/>
          </w:r>
          <w:r>
            <w:instrText xml:space="preserve"> PAGEREF _Toc1123 \h </w:instrText>
          </w:r>
          <w:r>
            <w:fldChar w:fldCharType="separate"/>
          </w:r>
          <w:r>
            <w:t>36</w:t>
          </w:r>
          <w:r>
            <w:fldChar w:fldCharType="end"/>
          </w:r>
          <w:r>
            <w:rPr>
              <w:rFonts w:hint="default" w:ascii="Times New Roman" w:hAnsi="Times New Roman" w:cs="Times New Roman"/>
              <w:bCs/>
              <w:color w:val="auto"/>
              <w:highlight w:val="none"/>
              <w:lang w:val="zh-CN"/>
            </w:rPr>
            <w:fldChar w:fldCharType="end"/>
          </w:r>
        </w:p>
        <w:p w14:paraId="25FECE77">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_Toc23509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2 </w:t>
          </w:r>
          <w:r>
            <w:rPr>
              <w:rFonts w:hint="default" w:ascii="Times New Roman" w:hAnsi="Times New Roman" w:cs="Times New Roman"/>
              <w:highlight w:val="none"/>
            </w:rPr>
            <w:t>项目区域环境条件</w:t>
          </w:r>
          <w:r>
            <w:tab/>
          </w:r>
          <w:r>
            <w:fldChar w:fldCharType="begin"/>
          </w:r>
          <w:r>
            <w:instrText xml:space="preserve"> PAGEREF _Toc23509 \h </w:instrText>
          </w:r>
          <w:r>
            <w:fldChar w:fldCharType="separate"/>
          </w:r>
          <w:r>
            <w:t>38</w:t>
          </w:r>
          <w:r>
            <w:fldChar w:fldCharType="end"/>
          </w:r>
          <w:r>
            <w:rPr>
              <w:rFonts w:hint="default" w:ascii="Times New Roman" w:hAnsi="Times New Roman" w:cs="Times New Roman"/>
              <w:bCs/>
              <w:color w:val="auto"/>
              <w:highlight w:val="none"/>
              <w:lang w:val="zh-CN"/>
            </w:rPr>
            <w:fldChar w:fldCharType="end"/>
          </w:r>
        </w:p>
        <w:p w14:paraId="6E4BFBD1">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_Toc20453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2.1</w:t>
          </w:r>
          <w:r>
            <w:rPr>
              <w:rFonts w:hint="default" w:ascii="Times New Roman" w:hAnsi="Times New Roman" w:cs="Times New Roman"/>
              <w:highlight w:val="none"/>
            </w:rPr>
            <w:t>地形地貌</w:t>
          </w:r>
          <w:r>
            <w:tab/>
          </w:r>
          <w:r>
            <w:fldChar w:fldCharType="begin"/>
          </w:r>
          <w:r>
            <w:instrText xml:space="preserve"> PAGEREF _Toc20453 \h </w:instrText>
          </w:r>
          <w:r>
            <w:fldChar w:fldCharType="separate"/>
          </w:r>
          <w:r>
            <w:t>38</w:t>
          </w:r>
          <w:r>
            <w:fldChar w:fldCharType="end"/>
          </w:r>
          <w:r>
            <w:rPr>
              <w:rFonts w:hint="default" w:ascii="Times New Roman" w:hAnsi="Times New Roman" w:cs="Times New Roman"/>
              <w:bCs/>
              <w:color w:val="auto"/>
              <w:highlight w:val="none"/>
              <w:lang w:val="zh-CN"/>
            </w:rPr>
            <w:fldChar w:fldCharType="end"/>
          </w:r>
        </w:p>
        <w:p w14:paraId="2337CB3F">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_Toc12657 </w:instrText>
          </w:r>
          <w:r>
            <w:rPr>
              <w:rFonts w:hint="default" w:ascii="Times New Roman" w:hAnsi="Times New Roman" w:cs="Times New Roman"/>
              <w:bCs/>
              <w:highlight w:val="none"/>
              <w:lang w:val="zh-CN"/>
            </w:rPr>
            <w:fldChar w:fldCharType="separate"/>
          </w:r>
          <w:r>
            <w:rPr>
              <w:rFonts w:hint="default" w:ascii="Times New Roman" w:hAnsi="Times New Roman" w:cs="Times New Roman" w:eastAsiaTheme="minorEastAsia"/>
              <w:highlight w:val="none"/>
              <w:lang w:val="en-US" w:eastAsia="zh-CN"/>
            </w:rPr>
            <w:t>2.2</w:t>
          </w:r>
          <w:r>
            <w:rPr>
              <w:rFonts w:hint="default" w:ascii="Times New Roman" w:hAnsi="Times New Roman" w:cs="Times New Roman" w:eastAsiaTheme="minorEastAsia"/>
              <w:highlight w:val="none"/>
            </w:rPr>
            <w:t>地质与水文地质</w:t>
          </w:r>
          <w:r>
            <w:tab/>
          </w:r>
          <w:r>
            <w:fldChar w:fldCharType="begin"/>
          </w:r>
          <w:r>
            <w:instrText xml:space="preserve"> PAGEREF _Toc12657 \h </w:instrText>
          </w:r>
          <w:r>
            <w:fldChar w:fldCharType="separate"/>
          </w:r>
          <w:r>
            <w:t>38</w:t>
          </w:r>
          <w:r>
            <w:fldChar w:fldCharType="end"/>
          </w:r>
          <w:r>
            <w:rPr>
              <w:rFonts w:hint="default" w:ascii="Times New Roman" w:hAnsi="Times New Roman" w:cs="Times New Roman"/>
              <w:bCs/>
              <w:color w:val="auto"/>
              <w:highlight w:val="none"/>
              <w:lang w:val="zh-CN"/>
            </w:rPr>
            <w:fldChar w:fldCharType="end"/>
          </w:r>
        </w:p>
        <w:p w14:paraId="0F59C0C6">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_Toc3272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2.2.1 </w:t>
          </w:r>
          <w:r>
            <w:rPr>
              <w:rFonts w:hint="default" w:ascii="Times New Roman" w:hAnsi="Times New Roman" w:cs="Times New Roman"/>
              <w:highlight w:val="none"/>
            </w:rPr>
            <w:t>地质</w:t>
          </w:r>
          <w:r>
            <w:tab/>
          </w:r>
          <w:r>
            <w:fldChar w:fldCharType="begin"/>
          </w:r>
          <w:r>
            <w:instrText xml:space="preserve"> PAGEREF _Toc3272 \h </w:instrText>
          </w:r>
          <w:r>
            <w:fldChar w:fldCharType="separate"/>
          </w:r>
          <w:r>
            <w:t>38</w:t>
          </w:r>
          <w:r>
            <w:fldChar w:fldCharType="end"/>
          </w:r>
          <w:r>
            <w:rPr>
              <w:rFonts w:hint="default" w:ascii="Times New Roman" w:hAnsi="Times New Roman" w:cs="Times New Roman"/>
              <w:bCs/>
              <w:color w:val="auto"/>
              <w:highlight w:val="none"/>
              <w:lang w:val="zh-CN"/>
            </w:rPr>
            <w:fldChar w:fldCharType="end"/>
          </w:r>
        </w:p>
        <w:p w14:paraId="4C522521">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_Toc3907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2.2.2 </w:t>
          </w:r>
          <w:r>
            <w:rPr>
              <w:rFonts w:hint="default" w:ascii="Times New Roman" w:hAnsi="Times New Roman" w:cs="Times New Roman"/>
              <w:highlight w:val="none"/>
            </w:rPr>
            <w:t>水文地质条件</w:t>
          </w:r>
          <w:r>
            <w:tab/>
          </w:r>
          <w:r>
            <w:fldChar w:fldCharType="begin"/>
          </w:r>
          <w:r>
            <w:instrText xml:space="preserve"> PAGEREF _Toc3907 \h </w:instrText>
          </w:r>
          <w:r>
            <w:fldChar w:fldCharType="separate"/>
          </w:r>
          <w:r>
            <w:t>39</w:t>
          </w:r>
          <w:r>
            <w:fldChar w:fldCharType="end"/>
          </w:r>
          <w:r>
            <w:rPr>
              <w:rFonts w:hint="default" w:ascii="Times New Roman" w:hAnsi="Times New Roman" w:cs="Times New Roman"/>
              <w:bCs/>
              <w:color w:val="auto"/>
              <w:highlight w:val="none"/>
              <w:lang w:val="zh-CN"/>
            </w:rPr>
            <w:fldChar w:fldCharType="end"/>
          </w:r>
        </w:p>
        <w:p w14:paraId="6A8F4E15">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_Toc19712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2.3 气象</w:t>
          </w:r>
          <w:r>
            <w:rPr>
              <w:rFonts w:hint="default" w:ascii="Times New Roman" w:hAnsi="Times New Roman" w:cs="Times New Roman"/>
              <w:highlight w:val="none"/>
            </w:rPr>
            <w:t>气候条件</w:t>
          </w:r>
          <w:r>
            <w:tab/>
          </w:r>
          <w:r>
            <w:fldChar w:fldCharType="begin"/>
          </w:r>
          <w:r>
            <w:instrText xml:space="preserve"> PAGEREF _Toc19712 \h </w:instrText>
          </w:r>
          <w:r>
            <w:fldChar w:fldCharType="separate"/>
          </w:r>
          <w:r>
            <w:t>40</w:t>
          </w:r>
          <w:r>
            <w:fldChar w:fldCharType="end"/>
          </w:r>
          <w:r>
            <w:rPr>
              <w:rFonts w:hint="default" w:ascii="Times New Roman" w:hAnsi="Times New Roman" w:cs="Times New Roman"/>
              <w:bCs/>
              <w:color w:val="auto"/>
              <w:highlight w:val="none"/>
              <w:lang w:val="zh-CN"/>
            </w:rPr>
            <w:fldChar w:fldCharType="end"/>
          </w:r>
        </w:p>
        <w:p w14:paraId="0A3485E2">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_Toc31792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2.4 </w:t>
          </w:r>
          <w:r>
            <w:rPr>
              <w:rFonts w:hint="default" w:ascii="Times New Roman" w:hAnsi="Times New Roman" w:cs="Times New Roman"/>
              <w:highlight w:val="none"/>
            </w:rPr>
            <w:t>周边地表水</w:t>
          </w:r>
          <w:r>
            <w:tab/>
          </w:r>
          <w:r>
            <w:fldChar w:fldCharType="begin"/>
          </w:r>
          <w:r>
            <w:instrText xml:space="preserve"> PAGEREF _Toc31792 \h </w:instrText>
          </w:r>
          <w:r>
            <w:fldChar w:fldCharType="separate"/>
          </w:r>
          <w:r>
            <w:t>40</w:t>
          </w:r>
          <w:r>
            <w:fldChar w:fldCharType="end"/>
          </w:r>
          <w:r>
            <w:rPr>
              <w:rFonts w:hint="default" w:ascii="Times New Roman" w:hAnsi="Times New Roman" w:cs="Times New Roman"/>
              <w:bCs/>
              <w:color w:val="auto"/>
              <w:highlight w:val="none"/>
              <w:lang w:val="zh-CN"/>
            </w:rPr>
            <w:fldChar w:fldCharType="end"/>
          </w:r>
        </w:p>
        <w:p w14:paraId="6BB9F35F">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_Toc19864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2.5 </w:t>
          </w:r>
          <w:r>
            <w:rPr>
              <w:rFonts w:hint="default" w:ascii="Times New Roman" w:hAnsi="Times New Roman" w:cs="Times New Roman"/>
              <w:highlight w:val="none"/>
            </w:rPr>
            <w:t>周边自然环境质量状况</w:t>
          </w:r>
          <w:r>
            <w:tab/>
          </w:r>
          <w:r>
            <w:fldChar w:fldCharType="begin"/>
          </w:r>
          <w:r>
            <w:instrText xml:space="preserve"> PAGEREF _Toc19864 \h </w:instrText>
          </w:r>
          <w:r>
            <w:fldChar w:fldCharType="separate"/>
          </w:r>
          <w:r>
            <w:t>41</w:t>
          </w:r>
          <w:r>
            <w:fldChar w:fldCharType="end"/>
          </w:r>
          <w:r>
            <w:rPr>
              <w:rFonts w:hint="default" w:ascii="Times New Roman" w:hAnsi="Times New Roman" w:cs="Times New Roman"/>
              <w:bCs/>
              <w:color w:val="auto"/>
              <w:highlight w:val="none"/>
              <w:lang w:val="zh-CN"/>
            </w:rPr>
            <w:fldChar w:fldCharType="end"/>
          </w:r>
        </w:p>
        <w:p w14:paraId="5E8939F9">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_Toc13291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2.6 </w:t>
          </w:r>
          <w:r>
            <w:rPr>
              <w:rFonts w:hint="default" w:ascii="Times New Roman" w:hAnsi="Times New Roman" w:cs="Times New Roman"/>
              <w:highlight w:val="none"/>
            </w:rPr>
            <w:t>环境保护目标</w:t>
          </w:r>
          <w:r>
            <w:tab/>
          </w:r>
          <w:r>
            <w:fldChar w:fldCharType="begin"/>
          </w:r>
          <w:r>
            <w:instrText xml:space="preserve"> PAGEREF _Toc13291 \h </w:instrText>
          </w:r>
          <w:r>
            <w:fldChar w:fldCharType="separate"/>
          </w:r>
          <w:r>
            <w:t>49</w:t>
          </w:r>
          <w:r>
            <w:fldChar w:fldCharType="end"/>
          </w:r>
          <w:r>
            <w:rPr>
              <w:rFonts w:hint="default" w:ascii="Times New Roman" w:hAnsi="Times New Roman" w:cs="Times New Roman"/>
              <w:bCs/>
              <w:color w:val="auto"/>
              <w:highlight w:val="none"/>
              <w:lang w:val="zh-CN"/>
            </w:rPr>
            <w:fldChar w:fldCharType="end"/>
          </w:r>
        </w:p>
        <w:p w14:paraId="10B304F7">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_Toc19202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3 </w:t>
          </w:r>
          <w:r>
            <w:rPr>
              <w:rFonts w:hint="default" w:ascii="Times New Roman" w:hAnsi="Times New Roman" w:cs="Times New Roman"/>
              <w:highlight w:val="none"/>
            </w:rPr>
            <w:t>环境管理体系</w:t>
          </w:r>
          <w:r>
            <w:tab/>
          </w:r>
          <w:r>
            <w:fldChar w:fldCharType="begin"/>
          </w:r>
          <w:r>
            <w:instrText xml:space="preserve"> PAGEREF _Toc19202 \h </w:instrText>
          </w:r>
          <w:r>
            <w:fldChar w:fldCharType="separate"/>
          </w:r>
          <w:r>
            <w:t>50</w:t>
          </w:r>
          <w:r>
            <w:fldChar w:fldCharType="end"/>
          </w:r>
          <w:r>
            <w:rPr>
              <w:rFonts w:hint="default" w:ascii="Times New Roman" w:hAnsi="Times New Roman" w:cs="Times New Roman"/>
              <w:bCs/>
              <w:color w:val="auto"/>
              <w:highlight w:val="none"/>
              <w:lang w:val="zh-CN"/>
            </w:rPr>
            <w:fldChar w:fldCharType="end"/>
          </w:r>
        </w:p>
        <w:p w14:paraId="23DDF08B">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_Toc23164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3.1 </w:t>
          </w:r>
          <w:r>
            <w:rPr>
              <w:rFonts w:hint="default" w:ascii="Times New Roman" w:hAnsi="Times New Roman" w:cs="Times New Roman"/>
              <w:highlight w:val="none"/>
            </w:rPr>
            <w:t>参与环境管理的机构</w:t>
          </w:r>
          <w:r>
            <w:tab/>
          </w:r>
          <w:r>
            <w:fldChar w:fldCharType="begin"/>
          </w:r>
          <w:r>
            <w:instrText xml:space="preserve"> PAGEREF _Toc23164 \h </w:instrText>
          </w:r>
          <w:r>
            <w:fldChar w:fldCharType="separate"/>
          </w:r>
          <w:r>
            <w:t>50</w:t>
          </w:r>
          <w:r>
            <w:fldChar w:fldCharType="end"/>
          </w:r>
          <w:r>
            <w:rPr>
              <w:rFonts w:hint="default" w:ascii="Times New Roman" w:hAnsi="Times New Roman" w:cs="Times New Roman"/>
              <w:bCs/>
              <w:color w:val="auto"/>
              <w:highlight w:val="none"/>
              <w:lang w:val="zh-CN"/>
            </w:rPr>
            <w:fldChar w:fldCharType="end"/>
          </w:r>
        </w:p>
        <w:p w14:paraId="729C1110">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_Toc21757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3.2 </w:t>
          </w:r>
          <w:r>
            <w:rPr>
              <w:rFonts w:hint="default" w:ascii="Times New Roman" w:hAnsi="Times New Roman" w:cs="Times New Roman"/>
              <w:highlight w:val="none"/>
            </w:rPr>
            <w:t>各机构环境具体管理职责</w:t>
          </w:r>
          <w:r>
            <w:tab/>
          </w:r>
          <w:r>
            <w:fldChar w:fldCharType="begin"/>
          </w:r>
          <w:r>
            <w:instrText xml:space="preserve"> PAGEREF _Toc21757 \h </w:instrText>
          </w:r>
          <w:r>
            <w:fldChar w:fldCharType="separate"/>
          </w:r>
          <w:r>
            <w:t>53</w:t>
          </w:r>
          <w:r>
            <w:fldChar w:fldCharType="end"/>
          </w:r>
          <w:r>
            <w:rPr>
              <w:rFonts w:hint="default" w:ascii="Times New Roman" w:hAnsi="Times New Roman" w:cs="Times New Roman"/>
              <w:bCs/>
              <w:color w:val="auto"/>
              <w:highlight w:val="none"/>
              <w:lang w:val="zh-CN"/>
            </w:rPr>
            <w:fldChar w:fldCharType="end"/>
          </w:r>
        </w:p>
        <w:p w14:paraId="085ED141">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_Toc13595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 </w:t>
          </w:r>
          <w:r>
            <w:rPr>
              <w:rFonts w:hint="default" w:ascii="Times New Roman" w:hAnsi="Times New Roman" w:cs="Times New Roman"/>
              <w:highlight w:val="none"/>
            </w:rPr>
            <w:t>环境影响减缓及管理措施</w:t>
          </w:r>
          <w:r>
            <w:tab/>
          </w:r>
          <w:r>
            <w:fldChar w:fldCharType="begin"/>
          </w:r>
          <w:r>
            <w:instrText xml:space="preserve"> PAGEREF _Toc13595 \h </w:instrText>
          </w:r>
          <w:r>
            <w:fldChar w:fldCharType="separate"/>
          </w:r>
          <w:r>
            <w:t>56</w:t>
          </w:r>
          <w:r>
            <w:fldChar w:fldCharType="end"/>
          </w:r>
          <w:r>
            <w:rPr>
              <w:rFonts w:hint="default" w:ascii="Times New Roman" w:hAnsi="Times New Roman" w:cs="Times New Roman"/>
              <w:bCs/>
              <w:color w:val="auto"/>
              <w:highlight w:val="none"/>
              <w:lang w:val="zh-CN"/>
            </w:rPr>
            <w:fldChar w:fldCharType="end"/>
          </w:r>
        </w:p>
        <w:p w14:paraId="38184D24">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_Toc1679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4.1 </w:t>
          </w:r>
          <w:r>
            <w:rPr>
              <w:rFonts w:hint="default" w:ascii="Times New Roman" w:hAnsi="Times New Roman" w:cs="Times New Roman"/>
              <w:highlight w:val="none"/>
            </w:rPr>
            <w:t>停产及物料转移阶段污染控制缓解措施</w:t>
          </w:r>
          <w:r>
            <w:tab/>
          </w:r>
          <w:r>
            <w:fldChar w:fldCharType="begin"/>
          </w:r>
          <w:r>
            <w:instrText xml:space="preserve"> PAGEREF _Toc1679 \h </w:instrText>
          </w:r>
          <w:r>
            <w:fldChar w:fldCharType="separate"/>
          </w:r>
          <w:r>
            <w:t>56</w:t>
          </w:r>
          <w:r>
            <w:fldChar w:fldCharType="end"/>
          </w:r>
          <w:r>
            <w:rPr>
              <w:rFonts w:hint="default" w:ascii="Times New Roman" w:hAnsi="Times New Roman" w:cs="Times New Roman"/>
              <w:bCs/>
              <w:color w:val="auto"/>
              <w:highlight w:val="none"/>
              <w:lang w:val="zh-CN"/>
            </w:rPr>
            <w:fldChar w:fldCharType="end"/>
          </w:r>
        </w:p>
        <w:p w14:paraId="00A98B95">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_Toc23223 </w:instrText>
          </w:r>
          <w:r>
            <w:rPr>
              <w:rFonts w:hint="default" w:ascii="Times New Roman" w:hAnsi="Times New Roman" w:cs="Times New Roman"/>
              <w:bCs/>
              <w:highlight w:val="none"/>
              <w:lang w:val="zh-CN"/>
            </w:rPr>
            <w:fldChar w:fldCharType="separate"/>
          </w:r>
          <w:r>
            <w:rPr>
              <w:rFonts w:hint="eastAsia"/>
              <w:lang w:val="en-US" w:eastAsia="zh-CN"/>
            </w:rPr>
            <w:t xml:space="preserve">4.1.1 </w:t>
          </w:r>
          <w:r>
            <w:rPr>
              <w:rFonts w:hint="eastAsia"/>
            </w:rPr>
            <w:t>环境影响及</w:t>
          </w:r>
          <w:r>
            <w:t>预防措施</w:t>
          </w:r>
          <w:r>
            <w:tab/>
          </w:r>
          <w:r>
            <w:fldChar w:fldCharType="begin"/>
          </w:r>
          <w:r>
            <w:instrText xml:space="preserve"> PAGEREF _Toc23223 \h </w:instrText>
          </w:r>
          <w:r>
            <w:fldChar w:fldCharType="separate"/>
          </w:r>
          <w:r>
            <w:t>57</w:t>
          </w:r>
          <w:r>
            <w:fldChar w:fldCharType="end"/>
          </w:r>
          <w:r>
            <w:rPr>
              <w:rFonts w:hint="default" w:ascii="Times New Roman" w:hAnsi="Times New Roman" w:cs="Times New Roman"/>
              <w:bCs/>
              <w:color w:val="auto"/>
              <w:highlight w:val="none"/>
              <w:lang w:val="zh-CN"/>
            </w:rPr>
            <w:fldChar w:fldCharType="end"/>
          </w:r>
        </w:p>
        <w:p w14:paraId="4EAE019F">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_Toc27363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4.1.2 </w:t>
          </w:r>
          <w:r>
            <w:rPr>
              <w:rFonts w:hint="default" w:ascii="Times New Roman" w:hAnsi="Times New Roman" w:cs="Times New Roman"/>
              <w:highlight w:val="none"/>
              <w:lang w:eastAsia="zh-CN"/>
            </w:rPr>
            <w:t>“</w:t>
          </w:r>
          <w:r>
            <w:rPr>
              <w:rFonts w:hint="default" w:ascii="Times New Roman" w:hAnsi="Times New Roman" w:cs="Times New Roman"/>
              <w:highlight w:val="none"/>
            </w:rPr>
            <w:t>三废</w:t>
          </w:r>
          <w:r>
            <w:rPr>
              <w:rFonts w:hint="default" w:ascii="Times New Roman" w:hAnsi="Times New Roman" w:cs="Times New Roman"/>
              <w:highlight w:val="none"/>
              <w:lang w:eastAsia="zh-CN"/>
            </w:rPr>
            <w:t>”</w:t>
          </w:r>
          <w:r>
            <w:rPr>
              <w:rFonts w:hint="default" w:ascii="Times New Roman" w:hAnsi="Times New Roman" w:cs="Times New Roman"/>
              <w:highlight w:val="none"/>
            </w:rPr>
            <w:t>控制措施</w:t>
          </w:r>
          <w:r>
            <w:tab/>
          </w:r>
          <w:r>
            <w:fldChar w:fldCharType="begin"/>
          </w:r>
          <w:r>
            <w:instrText xml:space="preserve"> PAGEREF _Toc27363 \h </w:instrText>
          </w:r>
          <w:r>
            <w:fldChar w:fldCharType="separate"/>
          </w:r>
          <w:r>
            <w:t>58</w:t>
          </w:r>
          <w:r>
            <w:fldChar w:fldCharType="end"/>
          </w:r>
          <w:r>
            <w:rPr>
              <w:rFonts w:hint="default" w:ascii="Times New Roman" w:hAnsi="Times New Roman" w:cs="Times New Roman"/>
              <w:bCs/>
              <w:color w:val="auto"/>
              <w:highlight w:val="none"/>
              <w:lang w:val="zh-CN"/>
            </w:rPr>
            <w:fldChar w:fldCharType="end"/>
          </w:r>
        </w:p>
        <w:p w14:paraId="0EE4F2B6">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_Toc8674 </w:instrText>
          </w:r>
          <w:r>
            <w:rPr>
              <w:rFonts w:hint="default" w:ascii="Times New Roman" w:hAnsi="Times New Roman" w:cs="Times New Roman"/>
              <w:bCs/>
              <w:highlight w:val="none"/>
              <w:lang w:val="zh-CN"/>
            </w:rPr>
            <w:fldChar w:fldCharType="separate"/>
          </w:r>
          <w:r>
            <w:rPr>
              <w:rFonts w:hint="eastAsia" w:cs="Times New Roman"/>
              <w:lang w:val="en-US" w:eastAsia="zh-CN"/>
            </w:rPr>
            <w:t xml:space="preserve">4.1.3 </w:t>
          </w:r>
          <w:r>
            <w:rPr>
              <w:rFonts w:hint="eastAsia" w:cs="Times New Roman"/>
            </w:rPr>
            <w:t>危险化学品管理</w:t>
          </w:r>
          <w:r>
            <w:rPr>
              <w:rFonts w:cs="Times New Roman"/>
            </w:rPr>
            <w:t>措施</w:t>
          </w:r>
          <w:r>
            <w:tab/>
          </w:r>
          <w:r>
            <w:fldChar w:fldCharType="begin"/>
          </w:r>
          <w:r>
            <w:instrText xml:space="preserve"> PAGEREF _Toc8674 \h </w:instrText>
          </w:r>
          <w:r>
            <w:fldChar w:fldCharType="separate"/>
          </w:r>
          <w:r>
            <w:t>60</w:t>
          </w:r>
          <w:r>
            <w:fldChar w:fldCharType="end"/>
          </w:r>
          <w:r>
            <w:rPr>
              <w:rFonts w:hint="default" w:ascii="Times New Roman" w:hAnsi="Times New Roman" w:cs="Times New Roman"/>
              <w:bCs/>
              <w:color w:val="auto"/>
              <w:highlight w:val="none"/>
              <w:lang w:val="zh-CN"/>
            </w:rPr>
            <w:fldChar w:fldCharType="end"/>
          </w:r>
        </w:p>
        <w:p w14:paraId="4795ABDD">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_Toc24079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4.1.</w:t>
          </w:r>
          <w:r>
            <w:rPr>
              <w:rFonts w:hint="eastAsia" w:cs="Times New Roman"/>
              <w:highlight w:val="none"/>
              <w:lang w:val="en-US" w:eastAsia="zh-CN"/>
            </w:rPr>
            <w:t>4</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w:t>
          </w:r>
          <w:r>
            <w:rPr>
              <w:rFonts w:hint="default" w:ascii="Times New Roman" w:hAnsi="Times New Roman" w:cs="Times New Roman"/>
              <w:highlight w:val="none"/>
            </w:rPr>
            <w:t>危废</w:t>
          </w:r>
          <w:r>
            <w:rPr>
              <w:rFonts w:hint="default" w:ascii="Times New Roman" w:hAnsi="Times New Roman" w:cs="Times New Roman"/>
              <w:highlight w:val="none"/>
              <w:lang w:eastAsia="zh-CN"/>
            </w:rPr>
            <w:t>”</w:t>
          </w:r>
          <w:r>
            <w:rPr>
              <w:rFonts w:hint="default" w:ascii="Times New Roman" w:hAnsi="Times New Roman" w:cs="Times New Roman"/>
              <w:highlight w:val="none"/>
            </w:rPr>
            <w:t>管理措施</w:t>
          </w:r>
          <w:r>
            <w:tab/>
          </w:r>
          <w:r>
            <w:fldChar w:fldCharType="begin"/>
          </w:r>
          <w:r>
            <w:instrText xml:space="preserve"> PAGEREF _Toc24079 \h </w:instrText>
          </w:r>
          <w:r>
            <w:fldChar w:fldCharType="separate"/>
          </w:r>
          <w:r>
            <w:t>64</w:t>
          </w:r>
          <w:r>
            <w:fldChar w:fldCharType="end"/>
          </w:r>
          <w:r>
            <w:rPr>
              <w:rFonts w:hint="default" w:ascii="Times New Roman" w:hAnsi="Times New Roman" w:cs="Times New Roman"/>
              <w:bCs/>
              <w:color w:val="auto"/>
              <w:highlight w:val="none"/>
              <w:lang w:val="zh-CN"/>
            </w:rPr>
            <w:fldChar w:fldCharType="end"/>
          </w:r>
        </w:p>
        <w:p w14:paraId="70484336">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_Toc32508 </w:instrText>
          </w:r>
          <w:r>
            <w:rPr>
              <w:rFonts w:hint="default" w:ascii="Times New Roman" w:hAnsi="Times New Roman" w:cs="Times New Roman"/>
              <w:bCs/>
              <w:highlight w:val="none"/>
              <w:lang w:val="zh-CN"/>
            </w:rPr>
            <w:fldChar w:fldCharType="separate"/>
          </w:r>
          <w:r>
            <w:rPr>
              <w:rFonts w:hint="default" w:ascii="Times New Roman" w:hAnsi="Times New Roman" w:cs="Times New Roman" w:eastAsiaTheme="minorEastAsia"/>
              <w:highlight w:val="none"/>
              <w:lang w:val="en-US" w:eastAsia="zh-CN"/>
            </w:rPr>
            <w:t>4.2</w:t>
          </w:r>
          <w:r>
            <w:rPr>
              <w:rFonts w:hint="default" w:ascii="Times New Roman" w:hAnsi="Times New Roman" w:cs="Times New Roman" w:eastAsiaTheme="minorEastAsia"/>
              <w:highlight w:val="none"/>
            </w:rPr>
            <w:t>设备拆除阶段污染控制缓解措施</w:t>
          </w:r>
          <w:r>
            <w:tab/>
          </w:r>
          <w:r>
            <w:fldChar w:fldCharType="begin"/>
          </w:r>
          <w:r>
            <w:instrText xml:space="preserve"> PAGEREF _Toc32508 \h </w:instrText>
          </w:r>
          <w:r>
            <w:fldChar w:fldCharType="separate"/>
          </w:r>
          <w:r>
            <w:t>69</w:t>
          </w:r>
          <w:r>
            <w:fldChar w:fldCharType="end"/>
          </w:r>
          <w:r>
            <w:rPr>
              <w:rFonts w:hint="default" w:ascii="Times New Roman" w:hAnsi="Times New Roman" w:cs="Times New Roman"/>
              <w:bCs/>
              <w:color w:val="auto"/>
              <w:highlight w:val="none"/>
              <w:lang w:val="zh-CN"/>
            </w:rPr>
            <w:fldChar w:fldCharType="end"/>
          </w:r>
        </w:p>
        <w:p w14:paraId="19875DC8">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_Toc28938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4.2.1 </w:t>
          </w:r>
          <w:r>
            <w:rPr>
              <w:rFonts w:hint="default" w:ascii="Times New Roman" w:hAnsi="Times New Roman" w:cs="Times New Roman"/>
              <w:highlight w:val="none"/>
            </w:rPr>
            <w:t>设备拆除过程的环境影响初步分析</w:t>
          </w:r>
          <w:r>
            <w:tab/>
          </w:r>
          <w:r>
            <w:fldChar w:fldCharType="begin"/>
          </w:r>
          <w:r>
            <w:instrText xml:space="preserve"> PAGEREF _Toc28938 \h </w:instrText>
          </w:r>
          <w:r>
            <w:fldChar w:fldCharType="separate"/>
          </w:r>
          <w:r>
            <w:t>69</w:t>
          </w:r>
          <w:r>
            <w:fldChar w:fldCharType="end"/>
          </w:r>
          <w:r>
            <w:rPr>
              <w:rFonts w:hint="default" w:ascii="Times New Roman" w:hAnsi="Times New Roman" w:cs="Times New Roman"/>
              <w:bCs/>
              <w:color w:val="auto"/>
              <w:highlight w:val="none"/>
              <w:lang w:val="zh-CN"/>
            </w:rPr>
            <w:fldChar w:fldCharType="end"/>
          </w:r>
        </w:p>
        <w:p w14:paraId="5C39228B">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_Toc23760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4.2.</w:t>
          </w:r>
          <w:r>
            <w:rPr>
              <w:rFonts w:hint="eastAsia" w:cs="Times New Roman"/>
              <w:highlight w:val="none"/>
              <w:lang w:val="en-US" w:eastAsia="zh-CN"/>
            </w:rPr>
            <w:t>2</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w:t>
          </w:r>
          <w:r>
            <w:rPr>
              <w:rFonts w:hint="default" w:ascii="Times New Roman" w:hAnsi="Times New Roman" w:cs="Times New Roman"/>
              <w:highlight w:val="none"/>
            </w:rPr>
            <w:t>三废</w:t>
          </w:r>
          <w:r>
            <w:rPr>
              <w:rFonts w:hint="default" w:ascii="Times New Roman" w:hAnsi="Times New Roman" w:cs="Times New Roman"/>
              <w:highlight w:val="none"/>
              <w:lang w:eastAsia="zh-CN"/>
            </w:rPr>
            <w:t>”</w:t>
          </w:r>
          <w:r>
            <w:rPr>
              <w:rFonts w:hint="default" w:ascii="Times New Roman" w:hAnsi="Times New Roman" w:cs="Times New Roman"/>
              <w:highlight w:val="none"/>
            </w:rPr>
            <w:t>控制措施及要求</w:t>
          </w:r>
          <w:r>
            <w:tab/>
          </w:r>
          <w:r>
            <w:fldChar w:fldCharType="begin"/>
          </w:r>
          <w:r>
            <w:instrText xml:space="preserve"> PAGEREF _Toc23760 \h </w:instrText>
          </w:r>
          <w:r>
            <w:fldChar w:fldCharType="separate"/>
          </w:r>
          <w:r>
            <w:t>71</w:t>
          </w:r>
          <w:r>
            <w:fldChar w:fldCharType="end"/>
          </w:r>
          <w:r>
            <w:rPr>
              <w:rFonts w:hint="default" w:ascii="Times New Roman" w:hAnsi="Times New Roman" w:cs="Times New Roman"/>
              <w:bCs/>
              <w:color w:val="auto"/>
              <w:highlight w:val="none"/>
              <w:lang w:val="zh-CN"/>
            </w:rPr>
            <w:fldChar w:fldCharType="end"/>
          </w:r>
        </w:p>
        <w:p w14:paraId="3967C2C8">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_Toc21086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4.2.</w:t>
          </w:r>
          <w:r>
            <w:rPr>
              <w:rFonts w:hint="eastAsia" w:cs="Times New Roman"/>
              <w:highlight w:val="none"/>
              <w:lang w:val="en-US" w:eastAsia="zh-CN"/>
            </w:rPr>
            <w:t>3</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设备转移操作及注意事项</w:t>
          </w:r>
          <w:r>
            <w:tab/>
          </w:r>
          <w:r>
            <w:fldChar w:fldCharType="begin"/>
          </w:r>
          <w:r>
            <w:instrText xml:space="preserve"> PAGEREF _Toc21086 \h </w:instrText>
          </w:r>
          <w:r>
            <w:fldChar w:fldCharType="separate"/>
          </w:r>
          <w:r>
            <w:t>73</w:t>
          </w:r>
          <w:r>
            <w:fldChar w:fldCharType="end"/>
          </w:r>
          <w:r>
            <w:rPr>
              <w:rFonts w:hint="default" w:ascii="Times New Roman" w:hAnsi="Times New Roman" w:cs="Times New Roman"/>
              <w:bCs/>
              <w:color w:val="auto"/>
              <w:highlight w:val="none"/>
              <w:lang w:val="zh-CN"/>
            </w:rPr>
            <w:fldChar w:fldCharType="end"/>
          </w:r>
        </w:p>
        <w:p w14:paraId="3A02D036">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_Toc2818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4.3 </w:t>
          </w:r>
          <w:r>
            <w:rPr>
              <w:rFonts w:hint="default" w:ascii="Times New Roman" w:hAnsi="Times New Roman" w:cs="Times New Roman"/>
              <w:highlight w:val="none"/>
            </w:rPr>
            <w:t>项目区环境管理分区</w:t>
          </w:r>
          <w:r>
            <w:tab/>
          </w:r>
          <w:r>
            <w:fldChar w:fldCharType="begin"/>
          </w:r>
          <w:r>
            <w:instrText xml:space="preserve"> PAGEREF _Toc2818 \h </w:instrText>
          </w:r>
          <w:r>
            <w:fldChar w:fldCharType="separate"/>
          </w:r>
          <w:r>
            <w:t>73</w:t>
          </w:r>
          <w:r>
            <w:fldChar w:fldCharType="end"/>
          </w:r>
          <w:r>
            <w:rPr>
              <w:rFonts w:hint="default" w:ascii="Times New Roman" w:hAnsi="Times New Roman" w:cs="Times New Roman"/>
              <w:bCs/>
              <w:color w:val="auto"/>
              <w:highlight w:val="none"/>
              <w:lang w:val="zh-CN"/>
            </w:rPr>
            <w:fldChar w:fldCharType="end"/>
          </w:r>
        </w:p>
        <w:p w14:paraId="4B66EC68">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_Toc2393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4.3.1 </w:t>
          </w:r>
          <w:r>
            <w:rPr>
              <w:rFonts w:hint="default" w:ascii="Times New Roman" w:hAnsi="Times New Roman" w:cs="Times New Roman"/>
              <w:highlight w:val="none"/>
            </w:rPr>
            <w:t>分区概述</w:t>
          </w:r>
          <w:r>
            <w:tab/>
          </w:r>
          <w:r>
            <w:fldChar w:fldCharType="begin"/>
          </w:r>
          <w:r>
            <w:instrText xml:space="preserve"> PAGEREF _Toc2393 \h </w:instrText>
          </w:r>
          <w:r>
            <w:fldChar w:fldCharType="separate"/>
          </w:r>
          <w:r>
            <w:t>73</w:t>
          </w:r>
          <w:r>
            <w:fldChar w:fldCharType="end"/>
          </w:r>
          <w:r>
            <w:rPr>
              <w:rFonts w:hint="default" w:ascii="Times New Roman" w:hAnsi="Times New Roman" w:cs="Times New Roman"/>
              <w:bCs/>
              <w:color w:val="auto"/>
              <w:highlight w:val="none"/>
              <w:lang w:val="zh-CN"/>
            </w:rPr>
            <w:fldChar w:fldCharType="end"/>
          </w:r>
        </w:p>
        <w:p w14:paraId="571890D5">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_Toc30973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4.3.2 </w:t>
          </w:r>
          <w:r>
            <w:rPr>
              <w:rFonts w:hint="default" w:ascii="Times New Roman" w:hAnsi="Times New Roman" w:cs="Times New Roman"/>
              <w:highlight w:val="none"/>
            </w:rPr>
            <w:t>一般性要求</w:t>
          </w:r>
          <w:r>
            <w:tab/>
          </w:r>
          <w:r>
            <w:fldChar w:fldCharType="begin"/>
          </w:r>
          <w:r>
            <w:instrText xml:space="preserve"> PAGEREF _Toc30973 \h </w:instrText>
          </w:r>
          <w:r>
            <w:fldChar w:fldCharType="separate"/>
          </w:r>
          <w:r>
            <w:t>75</w:t>
          </w:r>
          <w:r>
            <w:fldChar w:fldCharType="end"/>
          </w:r>
          <w:r>
            <w:rPr>
              <w:rFonts w:hint="default" w:ascii="Times New Roman" w:hAnsi="Times New Roman" w:cs="Times New Roman"/>
              <w:bCs/>
              <w:color w:val="auto"/>
              <w:highlight w:val="none"/>
              <w:lang w:val="zh-CN"/>
            </w:rPr>
            <w:fldChar w:fldCharType="end"/>
          </w:r>
        </w:p>
        <w:p w14:paraId="63E9815A">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_Toc32709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4.4 </w:t>
          </w:r>
          <w:r>
            <w:rPr>
              <w:rFonts w:hint="default" w:ascii="Times New Roman" w:hAnsi="Times New Roman" w:cs="Times New Roman"/>
              <w:highlight w:val="none"/>
            </w:rPr>
            <w:t>承包商现场环境行为规范</w:t>
          </w:r>
          <w:r>
            <w:tab/>
          </w:r>
          <w:r>
            <w:fldChar w:fldCharType="begin"/>
          </w:r>
          <w:r>
            <w:instrText xml:space="preserve"> PAGEREF _Toc32709 \h </w:instrText>
          </w:r>
          <w:r>
            <w:fldChar w:fldCharType="separate"/>
          </w:r>
          <w:r>
            <w:t>75</w:t>
          </w:r>
          <w:r>
            <w:fldChar w:fldCharType="end"/>
          </w:r>
          <w:r>
            <w:rPr>
              <w:rFonts w:hint="default" w:ascii="Times New Roman" w:hAnsi="Times New Roman" w:cs="Times New Roman"/>
              <w:bCs/>
              <w:color w:val="auto"/>
              <w:highlight w:val="none"/>
              <w:lang w:val="zh-CN"/>
            </w:rPr>
            <w:fldChar w:fldCharType="end"/>
          </w:r>
        </w:p>
        <w:p w14:paraId="7CB92E9D">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_Toc26947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4.4.1 </w:t>
          </w:r>
          <w:r>
            <w:rPr>
              <w:rFonts w:hint="default" w:ascii="Times New Roman" w:hAnsi="Times New Roman" w:cs="Times New Roman"/>
              <w:highlight w:val="none"/>
            </w:rPr>
            <w:t>劳动雇工要求</w:t>
          </w:r>
          <w:r>
            <w:tab/>
          </w:r>
          <w:r>
            <w:fldChar w:fldCharType="begin"/>
          </w:r>
          <w:r>
            <w:instrText xml:space="preserve"> PAGEREF _Toc26947 \h </w:instrText>
          </w:r>
          <w:r>
            <w:fldChar w:fldCharType="separate"/>
          </w:r>
          <w:r>
            <w:t>75</w:t>
          </w:r>
          <w:r>
            <w:fldChar w:fldCharType="end"/>
          </w:r>
          <w:r>
            <w:rPr>
              <w:rFonts w:hint="default" w:ascii="Times New Roman" w:hAnsi="Times New Roman" w:cs="Times New Roman"/>
              <w:bCs/>
              <w:color w:val="auto"/>
              <w:highlight w:val="none"/>
              <w:lang w:val="zh-CN"/>
            </w:rPr>
            <w:fldChar w:fldCharType="end"/>
          </w:r>
        </w:p>
        <w:p w14:paraId="71EFB221">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_Toc30326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4.4.2 </w:t>
          </w:r>
          <w:r>
            <w:rPr>
              <w:rFonts w:hint="default" w:ascii="Times New Roman" w:hAnsi="Times New Roman" w:cs="Times New Roman"/>
              <w:highlight w:val="none"/>
            </w:rPr>
            <w:t>雇工人员消洗</w:t>
          </w:r>
          <w:r>
            <w:tab/>
          </w:r>
          <w:r>
            <w:fldChar w:fldCharType="begin"/>
          </w:r>
          <w:r>
            <w:instrText xml:space="preserve"> PAGEREF _Toc30326 \h </w:instrText>
          </w:r>
          <w:r>
            <w:fldChar w:fldCharType="separate"/>
          </w:r>
          <w:r>
            <w:t>76</w:t>
          </w:r>
          <w:r>
            <w:fldChar w:fldCharType="end"/>
          </w:r>
          <w:r>
            <w:rPr>
              <w:rFonts w:hint="default" w:ascii="Times New Roman" w:hAnsi="Times New Roman" w:cs="Times New Roman"/>
              <w:bCs/>
              <w:color w:val="auto"/>
              <w:highlight w:val="none"/>
              <w:lang w:val="zh-CN"/>
            </w:rPr>
            <w:fldChar w:fldCharType="end"/>
          </w:r>
        </w:p>
        <w:p w14:paraId="5A11B631">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_Toc26700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4.4.3 </w:t>
          </w:r>
          <w:r>
            <w:rPr>
              <w:rFonts w:hint="default" w:ascii="Times New Roman" w:hAnsi="Times New Roman" w:cs="Times New Roman"/>
              <w:highlight w:val="none"/>
            </w:rPr>
            <w:t>固体废弃物管理</w:t>
          </w:r>
          <w:r>
            <w:tab/>
          </w:r>
          <w:r>
            <w:fldChar w:fldCharType="begin"/>
          </w:r>
          <w:r>
            <w:instrText xml:space="preserve"> PAGEREF _Toc26700 \h </w:instrText>
          </w:r>
          <w:r>
            <w:fldChar w:fldCharType="separate"/>
          </w:r>
          <w:r>
            <w:t>77</w:t>
          </w:r>
          <w:r>
            <w:fldChar w:fldCharType="end"/>
          </w:r>
          <w:r>
            <w:rPr>
              <w:rFonts w:hint="default" w:ascii="Times New Roman" w:hAnsi="Times New Roman" w:cs="Times New Roman"/>
              <w:bCs/>
              <w:color w:val="auto"/>
              <w:highlight w:val="none"/>
              <w:lang w:val="zh-CN"/>
            </w:rPr>
            <w:fldChar w:fldCharType="end"/>
          </w:r>
        </w:p>
        <w:p w14:paraId="128980BA">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_Toc9002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4.4.4 </w:t>
          </w:r>
          <w:r>
            <w:rPr>
              <w:rFonts w:hint="default" w:ascii="Times New Roman" w:hAnsi="Times New Roman" w:cs="Times New Roman"/>
              <w:highlight w:val="none"/>
            </w:rPr>
            <w:t>设备清洗</w:t>
          </w:r>
          <w:r>
            <w:tab/>
          </w:r>
          <w:r>
            <w:fldChar w:fldCharType="begin"/>
          </w:r>
          <w:r>
            <w:instrText xml:space="preserve"> PAGEREF _Toc9002 \h </w:instrText>
          </w:r>
          <w:r>
            <w:fldChar w:fldCharType="separate"/>
          </w:r>
          <w:r>
            <w:t>77</w:t>
          </w:r>
          <w:r>
            <w:fldChar w:fldCharType="end"/>
          </w:r>
          <w:r>
            <w:rPr>
              <w:rFonts w:hint="default" w:ascii="Times New Roman" w:hAnsi="Times New Roman" w:cs="Times New Roman"/>
              <w:bCs/>
              <w:color w:val="auto"/>
              <w:highlight w:val="none"/>
              <w:lang w:val="zh-CN"/>
            </w:rPr>
            <w:fldChar w:fldCharType="end"/>
          </w:r>
        </w:p>
        <w:p w14:paraId="3204F04D">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_Toc27485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4.4.5 </w:t>
          </w:r>
          <w:r>
            <w:rPr>
              <w:rFonts w:hint="default" w:ascii="Times New Roman" w:hAnsi="Times New Roman" w:cs="Times New Roman"/>
              <w:highlight w:val="none"/>
            </w:rPr>
            <w:t>废水与暴雨水管理</w:t>
          </w:r>
          <w:r>
            <w:tab/>
          </w:r>
          <w:r>
            <w:fldChar w:fldCharType="begin"/>
          </w:r>
          <w:r>
            <w:instrText xml:space="preserve"> PAGEREF _Toc27485 \h </w:instrText>
          </w:r>
          <w:r>
            <w:fldChar w:fldCharType="separate"/>
          </w:r>
          <w:r>
            <w:t>77</w:t>
          </w:r>
          <w:r>
            <w:fldChar w:fldCharType="end"/>
          </w:r>
          <w:r>
            <w:rPr>
              <w:rFonts w:hint="default" w:ascii="Times New Roman" w:hAnsi="Times New Roman" w:cs="Times New Roman"/>
              <w:bCs/>
              <w:color w:val="auto"/>
              <w:highlight w:val="none"/>
              <w:lang w:val="zh-CN"/>
            </w:rPr>
            <w:fldChar w:fldCharType="end"/>
          </w:r>
        </w:p>
        <w:p w14:paraId="2E73314A">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_Toc27283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4.4.6 </w:t>
          </w:r>
          <w:r>
            <w:rPr>
              <w:rFonts w:hint="default" w:ascii="Times New Roman" w:hAnsi="Times New Roman" w:cs="Times New Roman"/>
              <w:highlight w:val="none"/>
            </w:rPr>
            <w:t>噪声控制</w:t>
          </w:r>
          <w:r>
            <w:tab/>
          </w:r>
          <w:r>
            <w:fldChar w:fldCharType="begin"/>
          </w:r>
          <w:r>
            <w:instrText xml:space="preserve"> PAGEREF _Toc27283 \h </w:instrText>
          </w:r>
          <w:r>
            <w:fldChar w:fldCharType="separate"/>
          </w:r>
          <w:r>
            <w:t>78</w:t>
          </w:r>
          <w:r>
            <w:fldChar w:fldCharType="end"/>
          </w:r>
          <w:r>
            <w:rPr>
              <w:rFonts w:hint="default" w:ascii="Times New Roman" w:hAnsi="Times New Roman" w:cs="Times New Roman"/>
              <w:bCs/>
              <w:color w:val="auto"/>
              <w:highlight w:val="none"/>
              <w:lang w:val="zh-CN"/>
            </w:rPr>
            <w:fldChar w:fldCharType="end"/>
          </w:r>
        </w:p>
        <w:p w14:paraId="47D67494">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_Toc24305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5 </w:t>
          </w:r>
          <w:r>
            <w:rPr>
              <w:rFonts w:hint="default" w:ascii="Times New Roman" w:hAnsi="Times New Roman" w:cs="Times New Roman"/>
              <w:highlight w:val="none"/>
            </w:rPr>
            <w:t>环境监测计划</w:t>
          </w:r>
          <w:r>
            <w:tab/>
          </w:r>
          <w:r>
            <w:fldChar w:fldCharType="begin"/>
          </w:r>
          <w:r>
            <w:instrText xml:space="preserve"> PAGEREF _Toc24305 \h </w:instrText>
          </w:r>
          <w:r>
            <w:fldChar w:fldCharType="separate"/>
          </w:r>
          <w:r>
            <w:t>79</w:t>
          </w:r>
          <w:r>
            <w:fldChar w:fldCharType="end"/>
          </w:r>
          <w:r>
            <w:rPr>
              <w:rFonts w:hint="default" w:ascii="Times New Roman" w:hAnsi="Times New Roman" w:cs="Times New Roman"/>
              <w:bCs/>
              <w:color w:val="auto"/>
              <w:highlight w:val="none"/>
              <w:lang w:val="zh-CN"/>
            </w:rPr>
            <w:fldChar w:fldCharType="end"/>
          </w:r>
        </w:p>
        <w:p w14:paraId="7DF66934">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_Toc32643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5.1 </w:t>
          </w:r>
          <w:r>
            <w:rPr>
              <w:rFonts w:hint="default" w:ascii="Times New Roman" w:hAnsi="Times New Roman" w:cs="Times New Roman"/>
              <w:highlight w:val="none"/>
            </w:rPr>
            <w:t>监测机构</w:t>
          </w:r>
          <w:r>
            <w:tab/>
          </w:r>
          <w:r>
            <w:fldChar w:fldCharType="begin"/>
          </w:r>
          <w:r>
            <w:instrText xml:space="preserve"> PAGEREF _Toc32643 \h </w:instrText>
          </w:r>
          <w:r>
            <w:fldChar w:fldCharType="separate"/>
          </w:r>
          <w:r>
            <w:t>79</w:t>
          </w:r>
          <w:r>
            <w:fldChar w:fldCharType="end"/>
          </w:r>
          <w:r>
            <w:rPr>
              <w:rFonts w:hint="default" w:ascii="Times New Roman" w:hAnsi="Times New Roman" w:cs="Times New Roman"/>
              <w:bCs/>
              <w:color w:val="auto"/>
              <w:highlight w:val="none"/>
              <w:lang w:val="zh-CN"/>
            </w:rPr>
            <w:fldChar w:fldCharType="end"/>
          </w:r>
        </w:p>
        <w:p w14:paraId="30F4F72C">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_Toc27064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5.2 </w:t>
          </w:r>
          <w:r>
            <w:rPr>
              <w:rFonts w:hint="default" w:ascii="Times New Roman" w:hAnsi="Times New Roman" w:cs="Times New Roman"/>
              <w:highlight w:val="none"/>
            </w:rPr>
            <w:t>监测内容</w:t>
          </w:r>
          <w:r>
            <w:tab/>
          </w:r>
          <w:r>
            <w:fldChar w:fldCharType="begin"/>
          </w:r>
          <w:r>
            <w:instrText xml:space="preserve"> PAGEREF _Toc27064 \h </w:instrText>
          </w:r>
          <w:r>
            <w:fldChar w:fldCharType="separate"/>
          </w:r>
          <w:r>
            <w:t>79</w:t>
          </w:r>
          <w:r>
            <w:fldChar w:fldCharType="end"/>
          </w:r>
          <w:r>
            <w:rPr>
              <w:rFonts w:hint="default" w:ascii="Times New Roman" w:hAnsi="Times New Roman" w:cs="Times New Roman"/>
              <w:bCs/>
              <w:color w:val="auto"/>
              <w:highlight w:val="none"/>
              <w:lang w:val="zh-CN"/>
            </w:rPr>
            <w:fldChar w:fldCharType="end"/>
          </w:r>
        </w:p>
        <w:p w14:paraId="20D7D38B">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_Toc14475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5.2.1 </w:t>
          </w:r>
          <w:r>
            <w:rPr>
              <w:rFonts w:hint="default" w:ascii="Times New Roman" w:hAnsi="Times New Roman" w:cs="Times New Roman"/>
              <w:highlight w:val="none"/>
            </w:rPr>
            <w:t>大气环境监测</w:t>
          </w:r>
          <w:r>
            <w:tab/>
          </w:r>
          <w:r>
            <w:fldChar w:fldCharType="begin"/>
          </w:r>
          <w:r>
            <w:instrText xml:space="preserve"> PAGEREF _Toc14475 \h </w:instrText>
          </w:r>
          <w:r>
            <w:fldChar w:fldCharType="separate"/>
          </w:r>
          <w:r>
            <w:t>79</w:t>
          </w:r>
          <w:r>
            <w:fldChar w:fldCharType="end"/>
          </w:r>
          <w:r>
            <w:rPr>
              <w:rFonts w:hint="default" w:ascii="Times New Roman" w:hAnsi="Times New Roman" w:cs="Times New Roman"/>
              <w:bCs/>
              <w:color w:val="auto"/>
              <w:highlight w:val="none"/>
              <w:lang w:val="zh-CN"/>
            </w:rPr>
            <w:fldChar w:fldCharType="end"/>
          </w:r>
        </w:p>
        <w:p w14:paraId="2B0A0673">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_Toc4145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5.2.2 </w:t>
          </w:r>
          <w:r>
            <w:rPr>
              <w:rFonts w:hint="default" w:ascii="Times New Roman" w:hAnsi="Times New Roman" w:cs="Times New Roman"/>
              <w:highlight w:val="none"/>
            </w:rPr>
            <w:t>噪声环境监测</w:t>
          </w:r>
          <w:r>
            <w:tab/>
          </w:r>
          <w:r>
            <w:fldChar w:fldCharType="begin"/>
          </w:r>
          <w:r>
            <w:instrText xml:space="preserve"> PAGEREF _Toc4145 \h </w:instrText>
          </w:r>
          <w:r>
            <w:fldChar w:fldCharType="separate"/>
          </w:r>
          <w:r>
            <w:t>81</w:t>
          </w:r>
          <w:r>
            <w:fldChar w:fldCharType="end"/>
          </w:r>
          <w:r>
            <w:rPr>
              <w:rFonts w:hint="default" w:ascii="Times New Roman" w:hAnsi="Times New Roman" w:cs="Times New Roman"/>
              <w:bCs/>
              <w:color w:val="auto"/>
              <w:highlight w:val="none"/>
              <w:lang w:val="zh-CN"/>
            </w:rPr>
            <w:fldChar w:fldCharType="end"/>
          </w:r>
        </w:p>
        <w:p w14:paraId="0B4A9670">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_Toc14225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5.2.3 </w:t>
          </w:r>
          <w:r>
            <w:rPr>
              <w:rFonts w:hint="default" w:ascii="Times New Roman" w:hAnsi="Times New Roman" w:cs="Times New Roman"/>
              <w:highlight w:val="none"/>
            </w:rPr>
            <w:t>废水监测</w:t>
          </w:r>
          <w:r>
            <w:tab/>
          </w:r>
          <w:r>
            <w:fldChar w:fldCharType="begin"/>
          </w:r>
          <w:r>
            <w:instrText xml:space="preserve"> PAGEREF _Toc14225 \h </w:instrText>
          </w:r>
          <w:r>
            <w:fldChar w:fldCharType="separate"/>
          </w:r>
          <w:r>
            <w:t>82</w:t>
          </w:r>
          <w:r>
            <w:fldChar w:fldCharType="end"/>
          </w:r>
          <w:r>
            <w:rPr>
              <w:rFonts w:hint="default" w:ascii="Times New Roman" w:hAnsi="Times New Roman" w:cs="Times New Roman"/>
              <w:bCs/>
              <w:color w:val="auto"/>
              <w:highlight w:val="none"/>
              <w:lang w:val="zh-CN"/>
            </w:rPr>
            <w:fldChar w:fldCharType="end"/>
          </w:r>
        </w:p>
        <w:p w14:paraId="2AF3D6FE">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_Toc1641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5.2.4 </w:t>
          </w:r>
          <w:r>
            <w:rPr>
              <w:rFonts w:hint="default" w:ascii="Times New Roman" w:hAnsi="Times New Roman" w:cs="Times New Roman"/>
              <w:highlight w:val="none"/>
            </w:rPr>
            <w:t>土壤和地下水监测</w:t>
          </w:r>
          <w:r>
            <w:tab/>
          </w:r>
          <w:r>
            <w:fldChar w:fldCharType="begin"/>
          </w:r>
          <w:r>
            <w:instrText xml:space="preserve"> PAGEREF _Toc1641 \h </w:instrText>
          </w:r>
          <w:r>
            <w:fldChar w:fldCharType="separate"/>
          </w:r>
          <w:r>
            <w:t>83</w:t>
          </w:r>
          <w:r>
            <w:fldChar w:fldCharType="end"/>
          </w:r>
          <w:r>
            <w:rPr>
              <w:rFonts w:hint="default" w:ascii="Times New Roman" w:hAnsi="Times New Roman" w:cs="Times New Roman"/>
              <w:bCs/>
              <w:color w:val="auto"/>
              <w:highlight w:val="none"/>
              <w:lang w:val="zh-CN"/>
            </w:rPr>
            <w:fldChar w:fldCharType="end"/>
          </w:r>
        </w:p>
        <w:p w14:paraId="179ECCAB">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_Toc6957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 </w:t>
          </w:r>
          <w:r>
            <w:rPr>
              <w:rFonts w:hint="default" w:ascii="Times New Roman" w:hAnsi="Times New Roman" w:cs="Times New Roman"/>
              <w:highlight w:val="none"/>
            </w:rPr>
            <w:t>环境应急计划</w:t>
          </w:r>
          <w:r>
            <w:tab/>
          </w:r>
          <w:r>
            <w:fldChar w:fldCharType="begin"/>
          </w:r>
          <w:r>
            <w:instrText xml:space="preserve"> PAGEREF _Toc6957 \h </w:instrText>
          </w:r>
          <w:r>
            <w:fldChar w:fldCharType="separate"/>
          </w:r>
          <w:r>
            <w:t>92</w:t>
          </w:r>
          <w:r>
            <w:fldChar w:fldCharType="end"/>
          </w:r>
          <w:r>
            <w:rPr>
              <w:rFonts w:hint="default" w:ascii="Times New Roman" w:hAnsi="Times New Roman" w:cs="Times New Roman"/>
              <w:bCs/>
              <w:color w:val="auto"/>
              <w:highlight w:val="none"/>
              <w:lang w:val="zh-CN"/>
            </w:rPr>
            <w:fldChar w:fldCharType="end"/>
          </w:r>
        </w:p>
        <w:p w14:paraId="54BBEDF8">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_Toc10345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6.1 </w:t>
          </w:r>
          <w:r>
            <w:rPr>
              <w:rFonts w:hint="default" w:ascii="Times New Roman" w:hAnsi="Times New Roman" w:cs="Times New Roman"/>
              <w:highlight w:val="none"/>
            </w:rPr>
            <w:t>应急小组及工作职责</w:t>
          </w:r>
          <w:r>
            <w:tab/>
          </w:r>
          <w:r>
            <w:fldChar w:fldCharType="begin"/>
          </w:r>
          <w:r>
            <w:instrText xml:space="preserve"> PAGEREF _Toc10345 \h </w:instrText>
          </w:r>
          <w:r>
            <w:fldChar w:fldCharType="separate"/>
          </w:r>
          <w:r>
            <w:t>92</w:t>
          </w:r>
          <w:r>
            <w:fldChar w:fldCharType="end"/>
          </w:r>
          <w:r>
            <w:rPr>
              <w:rFonts w:hint="default" w:ascii="Times New Roman" w:hAnsi="Times New Roman" w:cs="Times New Roman"/>
              <w:bCs/>
              <w:color w:val="auto"/>
              <w:highlight w:val="none"/>
              <w:lang w:val="zh-CN"/>
            </w:rPr>
            <w:fldChar w:fldCharType="end"/>
          </w:r>
        </w:p>
        <w:p w14:paraId="727724BE">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_Toc28618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6.1.1 </w:t>
          </w:r>
          <w:r>
            <w:rPr>
              <w:rFonts w:hint="default" w:ascii="Times New Roman" w:hAnsi="Times New Roman" w:cs="Times New Roman"/>
              <w:highlight w:val="none"/>
            </w:rPr>
            <w:t>应急小组</w:t>
          </w:r>
          <w:r>
            <w:tab/>
          </w:r>
          <w:r>
            <w:fldChar w:fldCharType="begin"/>
          </w:r>
          <w:r>
            <w:instrText xml:space="preserve"> PAGEREF _Toc28618 \h </w:instrText>
          </w:r>
          <w:r>
            <w:fldChar w:fldCharType="separate"/>
          </w:r>
          <w:r>
            <w:t>92</w:t>
          </w:r>
          <w:r>
            <w:fldChar w:fldCharType="end"/>
          </w:r>
          <w:r>
            <w:rPr>
              <w:rFonts w:hint="default" w:ascii="Times New Roman" w:hAnsi="Times New Roman" w:cs="Times New Roman"/>
              <w:bCs/>
              <w:color w:val="auto"/>
              <w:highlight w:val="none"/>
              <w:lang w:val="zh-CN"/>
            </w:rPr>
            <w:fldChar w:fldCharType="end"/>
          </w:r>
        </w:p>
        <w:p w14:paraId="7034E498">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_Toc5974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6.1.2 </w:t>
          </w:r>
          <w:r>
            <w:rPr>
              <w:rFonts w:hint="default" w:ascii="Times New Roman" w:hAnsi="Times New Roman" w:cs="Times New Roman"/>
              <w:highlight w:val="none"/>
            </w:rPr>
            <w:t>现场管理员职责</w:t>
          </w:r>
          <w:r>
            <w:tab/>
          </w:r>
          <w:r>
            <w:fldChar w:fldCharType="begin"/>
          </w:r>
          <w:r>
            <w:instrText xml:space="preserve"> PAGEREF _Toc5974 \h </w:instrText>
          </w:r>
          <w:r>
            <w:fldChar w:fldCharType="separate"/>
          </w:r>
          <w:r>
            <w:t>92</w:t>
          </w:r>
          <w:r>
            <w:fldChar w:fldCharType="end"/>
          </w:r>
          <w:r>
            <w:rPr>
              <w:rFonts w:hint="default" w:ascii="Times New Roman" w:hAnsi="Times New Roman" w:cs="Times New Roman"/>
              <w:bCs/>
              <w:color w:val="auto"/>
              <w:highlight w:val="none"/>
              <w:lang w:val="zh-CN"/>
            </w:rPr>
            <w:fldChar w:fldCharType="end"/>
          </w:r>
        </w:p>
        <w:p w14:paraId="7422FDB9">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_Toc1751 </w:instrText>
          </w:r>
          <w:r>
            <w:rPr>
              <w:rFonts w:hint="default" w:ascii="Times New Roman" w:hAnsi="Times New Roman" w:cs="Times New Roman"/>
              <w:bCs/>
              <w:highlight w:val="none"/>
              <w:lang w:val="zh-CN"/>
            </w:rPr>
            <w:fldChar w:fldCharType="separate"/>
          </w:r>
          <w:r>
            <w:rPr>
              <w:rFonts w:hint="default" w:ascii="Times New Roman" w:hAnsi="Times New Roman" w:cs="Times New Roman" w:eastAsiaTheme="minorEastAsia"/>
              <w:highlight w:val="none"/>
              <w:lang w:val="en-US" w:eastAsia="zh-CN"/>
            </w:rPr>
            <w:t xml:space="preserve">6.2 </w:t>
          </w:r>
          <w:r>
            <w:rPr>
              <w:rFonts w:hint="default" w:ascii="Times New Roman" w:hAnsi="Times New Roman" w:cs="Times New Roman" w:eastAsiaTheme="minorEastAsia"/>
              <w:highlight w:val="none"/>
            </w:rPr>
            <w:t>风险隐患识别及排查</w:t>
          </w:r>
          <w:r>
            <w:tab/>
          </w:r>
          <w:r>
            <w:fldChar w:fldCharType="begin"/>
          </w:r>
          <w:r>
            <w:instrText xml:space="preserve"> PAGEREF _Toc1751 \h </w:instrText>
          </w:r>
          <w:r>
            <w:fldChar w:fldCharType="separate"/>
          </w:r>
          <w:r>
            <w:t>92</w:t>
          </w:r>
          <w:r>
            <w:fldChar w:fldCharType="end"/>
          </w:r>
          <w:r>
            <w:rPr>
              <w:rFonts w:hint="default" w:ascii="Times New Roman" w:hAnsi="Times New Roman" w:cs="Times New Roman"/>
              <w:bCs/>
              <w:color w:val="auto"/>
              <w:highlight w:val="none"/>
              <w:lang w:val="zh-CN"/>
            </w:rPr>
            <w:fldChar w:fldCharType="end"/>
          </w:r>
        </w:p>
        <w:p w14:paraId="46B05EFA">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_Toc10322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6.2.1 </w:t>
          </w:r>
          <w:r>
            <w:rPr>
              <w:rFonts w:hint="default" w:ascii="Times New Roman" w:hAnsi="Times New Roman" w:cs="Times New Roman"/>
              <w:highlight w:val="none"/>
            </w:rPr>
            <w:t>应急准备</w:t>
          </w:r>
          <w:r>
            <w:tab/>
          </w:r>
          <w:r>
            <w:fldChar w:fldCharType="begin"/>
          </w:r>
          <w:r>
            <w:instrText xml:space="preserve"> PAGEREF _Toc10322 \h </w:instrText>
          </w:r>
          <w:r>
            <w:fldChar w:fldCharType="separate"/>
          </w:r>
          <w:r>
            <w:t>93</w:t>
          </w:r>
          <w:r>
            <w:fldChar w:fldCharType="end"/>
          </w:r>
          <w:r>
            <w:rPr>
              <w:rFonts w:hint="default" w:ascii="Times New Roman" w:hAnsi="Times New Roman" w:cs="Times New Roman"/>
              <w:bCs/>
              <w:color w:val="auto"/>
              <w:highlight w:val="none"/>
              <w:lang w:val="zh-CN"/>
            </w:rPr>
            <w:fldChar w:fldCharType="end"/>
          </w:r>
        </w:p>
        <w:p w14:paraId="796CFE4C">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_Toc19607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6.2.2 </w:t>
          </w:r>
          <w:r>
            <w:rPr>
              <w:rFonts w:hint="default" w:ascii="Times New Roman" w:hAnsi="Times New Roman" w:cs="Times New Roman"/>
              <w:highlight w:val="none"/>
            </w:rPr>
            <w:t>现场环境风险识别</w:t>
          </w:r>
          <w:r>
            <w:tab/>
          </w:r>
          <w:r>
            <w:fldChar w:fldCharType="begin"/>
          </w:r>
          <w:r>
            <w:instrText xml:space="preserve"> PAGEREF _Toc19607 \h </w:instrText>
          </w:r>
          <w:r>
            <w:fldChar w:fldCharType="separate"/>
          </w:r>
          <w:r>
            <w:t>93</w:t>
          </w:r>
          <w:r>
            <w:fldChar w:fldCharType="end"/>
          </w:r>
          <w:r>
            <w:rPr>
              <w:rFonts w:hint="default" w:ascii="Times New Roman" w:hAnsi="Times New Roman" w:cs="Times New Roman"/>
              <w:bCs/>
              <w:color w:val="auto"/>
              <w:highlight w:val="none"/>
              <w:lang w:val="zh-CN"/>
            </w:rPr>
            <w:fldChar w:fldCharType="end"/>
          </w:r>
        </w:p>
        <w:p w14:paraId="789E62D5">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_Toc31643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6.3 </w:t>
          </w:r>
          <w:r>
            <w:rPr>
              <w:rFonts w:hint="default" w:ascii="Times New Roman" w:hAnsi="Times New Roman" w:cs="Times New Roman"/>
              <w:highlight w:val="none"/>
            </w:rPr>
            <w:t>应急信息的报告与发布</w:t>
          </w:r>
          <w:r>
            <w:tab/>
          </w:r>
          <w:r>
            <w:fldChar w:fldCharType="begin"/>
          </w:r>
          <w:r>
            <w:instrText xml:space="preserve"> PAGEREF _Toc31643 \h </w:instrText>
          </w:r>
          <w:r>
            <w:fldChar w:fldCharType="separate"/>
          </w:r>
          <w:r>
            <w:t>94</w:t>
          </w:r>
          <w:r>
            <w:fldChar w:fldCharType="end"/>
          </w:r>
          <w:r>
            <w:rPr>
              <w:rFonts w:hint="default" w:ascii="Times New Roman" w:hAnsi="Times New Roman" w:cs="Times New Roman"/>
              <w:bCs/>
              <w:color w:val="auto"/>
              <w:highlight w:val="none"/>
              <w:lang w:val="zh-CN"/>
            </w:rPr>
            <w:fldChar w:fldCharType="end"/>
          </w:r>
        </w:p>
        <w:p w14:paraId="374A5606">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_Toc14664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6.4 </w:t>
          </w:r>
          <w:r>
            <w:rPr>
              <w:rFonts w:hint="default" w:ascii="Times New Roman" w:hAnsi="Times New Roman" w:cs="Times New Roman"/>
              <w:highlight w:val="none"/>
            </w:rPr>
            <w:t>应急处置措施</w:t>
          </w:r>
          <w:r>
            <w:tab/>
          </w:r>
          <w:r>
            <w:fldChar w:fldCharType="begin"/>
          </w:r>
          <w:r>
            <w:instrText xml:space="preserve"> PAGEREF _Toc14664 \h </w:instrText>
          </w:r>
          <w:r>
            <w:fldChar w:fldCharType="separate"/>
          </w:r>
          <w:r>
            <w:t>94</w:t>
          </w:r>
          <w:r>
            <w:fldChar w:fldCharType="end"/>
          </w:r>
          <w:r>
            <w:rPr>
              <w:rFonts w:hint="default" w:ascii="Times New Roman" w:hAnsi="Times New Roman" w:cs="Times New Roman"/>
              <w:bCs/>
              <w:color w:val="auto"/>
              <w:highlight w:val="none"/>
              <w:lang w:val="zh-CN"/>
            </w:rPr>
            <w:fldChar w:fldCharType="end"/>
          </w:r>
        </w:p>
        <w:p w14:paraId="22901154">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_Toc1411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6.4.1 </w:t>
          </w:r>
          <w:r>
            <w:rPr>
              <w:rFonts w:hint="default" w:ascii="Times New Roman" w:hAnsi="Times New Roman" w:cs="Times New Roman"/>
              <w:highlight w:val="none"/>
            </w:rPr>
            <w:t>一般性要求</w:t>
          </w:r>
          <w:r>
            <w:tab/>
          </w:r>
          <w:r>
            <w:fldChar w:fldCharType="begin"/>
          </w:r>
          <w:r>
            <w:instrText xml:space="preserve"> PAGEREF _Toc1411 \h </w:instrText>
          </w:r>
          <w:r>
            <w:fldChar w:fldCharType="separate"/>
          </w:r>
          <w:r>
            <w:t>94</w:t>
          </w:r>
          <w:r>
            <w:fldChar w:fldCharType="end"/>
          </w:r>
          <w:r>
            <w:rPr>
              <w:rFonts w:hint="default" w:ascii="Times New Roman" w:hAnsi="Times New Roman" w:cs="Times New Roman"/>
              <w:bCs/>
              <w:color w:val="auto"/>
              <w:highlight w:val="none"/>
              <w:lang w:val="zh-CN"/>
            </w:rPr>
            <w:fldChar w:fldCharType="end"/>
          </w:r>
        </w:p>
        <w:p w14:paraId="502B379C">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_Toc8383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6.4.2 </w:t>
          </w:r>
          <w:r>
            <w:rPr>
              <w:rFonts w:hint="default" w:ascii="Times New Roman" w:hAnsi="Times New Roman" w:cs="Times New Roman"/>
              <w:highlight w:val="none"/>
            </w:rPr>
            <w:t>应急事故处理流程</w:t>
          </w:r>
          <w:r>
            <w:tab/>
          </w:r>
          <w:r>
            <w:fldChar w:fldCharType="begin"/>
          </w:r>
          <w:r>
            <w:instrText xml:space="preserve"> PAGEREF _Toc8383 \h </w:instrText>
          </w:r>
          <w:r>
            <w:fldChar w:fldCharType="separate"/>
          </w:r>
          <w:r>
            <w:t>95</w:t>
          </w:r>
          <w:r>
            <w:fldChar w:fldCharType="end"/>
          </w:r>
          <w:r>
            <w:rPr>
              <w:rFonts w:hint="default" w:ascii="Times New Roman" w:hAnsi="Times New Roman" w:cs="Times New Roman"/>
              <w:bCs/>
              <w:color w:val="auto"/>
              <w:highlight w:val="none"/>
              <w:lang w:val="zh-CN"/>
            </w:rPr>
            <w:fldChar w:fldCharType="end"/>
          </w:r>
        </w:p>
        <w:p w14:paraId="580239B3">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_Toc24621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6.5 </w:t>
          </w:r>
          <w:r>
            <w:rPr>
              <w:rFonts w:hint="default" w:ascii="Times New Roman" w:hAnsi="Times New Roman" w:cs="Times New Roman"/>
              <w:highlight w:val="none"/>
            </w:rPr>
            <w:t>紧急疏散</w:t>
          </w:r>
          <w:r>
            <w:tab/>
          </w:r>
          <w:r>
            <w:fldChar w:fldCharType="begin"/>
          </w:r>
          <w:r>
            <w:instrText xml:space="preserve"> PAGEREF _Toc24621 \h </w:instrText>
          </w:r>
          <w:r>
            <w:fldChar w:fldCharType="separate"/>
          </w:r>
          <w:r>
            <w:t>97</w:t>
          </w:r>
          <w:r>
            <w:fldChar w:fldCharType="end"/>
          </w:r>
          <w:r>
            <w:rPr>
              <w:rFonts w:hint="default" w:ascii="Times New Roman" w:hAnsi="Times New Roman" w:cs="Times New Roman"/>
              <w:bCs/>
              <w:color w:val="auto"/>
              <w:highlight w:val="none"/>
              <w:lang w:val="zh-CN"/>
            </w:rPr>
            <w:fldChar w:fldCharType="end"/>
          </w:r>
        </w:p>
        <w:p w14:paraId="6AB8F59E">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_Toc31663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6.5.1 </w:t>
          </w:r>
          <w:r>
            <w:rPr>
              <w:rFonts w:hint="default" w:ascii="Times New Roman" w:hAnsi="Times New Roman" w:cs="Times New Roman"/>
              <w:highlight w:val="none"/>
            </w:rPr>
            <w:t>疏散联络方法</w:t>
          </w:r>
          <w:r>
            <w:tab/>
          </w:r>
          <w:r>
            <w:fldChar w:fldCharType="begin"/>
          </w:r>
          <w:r>
            <w:instrText xml:space="preserve"> PAGEREF _Toc31663 \h </w:instrText>
          </w:r>
          <w:r>
            <w:fldChar w:fldCharType="separate"/>
          </w:r>
          <w:r>
            <w:t>97</w:t>
          </w:r>
          <w:r>
            <w:fldChar w:fldCharType="end"/>
          </w:r>
          <w:r>
            <w:rPr>
              <w:rFonts w:hint="default" w:ascii="Times New Roman" w:hAnsi="Times New Roman" w:cs="Times New Roman"/>
              <w:bCs/>
              <w:color w:val="auto"/>
              <w:highlight w:val="none"/>
              <w:lang w:val="zh-CN"/>
            </w:rPr>
            <w:fldChar w:fldCharType="end"/>
          </w:r>
        </w:p>
        <w:p w14:paraId="4CFD2EB1">
          <w:pPr>
            <w:pStyle w:val="15"/>
            <w:tabs>
              <w:tab w:val="right" w:leader="dot" w:pos="830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_Toc13368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6.5.2 </w:t>
          </w:r>
          <w:r>
            <w:rPr>
              <w:rFonts w:hint="default" w:ascii="Times New Roman" w:hAnsi="Times New Roman" w:cs="Times New Roman"/>
              <w:highlight w:val="none"/>
            </w:rPr>
            <w:t>疏散步骤</w:t>
          </w:r>
          <w:r>
            <w:tab/>
          </w:r>
          <w:r>
            <w:fldChar w:fldCharType="begin"/>
          </w:r>
          <w:r>
            <w:instrText xml:space="preserve"> PAGEREF _Toc13368 \h </w:instrText>
          </w:r>
          <w:r>
            <w:fldChar w:fldCharType="separate"/>
          </w:r>
          <w:r>
            <w:t>97</w:t>
          </w:r>
          <w:r>
            <w:fldChar w:fldCharType="end"/>
          </w:r>
          <w:r>
            <w:rPr>
              <w:rFonts w:hint="default" w:ascii="Times New Roman" w:hAnsi="Times New Roman" w:cs="Times New Roman"/>
              <w:bCs/>
              <w:color w:val="auto"/>
              <w:highlight w:val="none"/>
              <w:lang w:val="zh-CN"/>
            </w:rPr>
            <w:fldChar w:fldCharType="end"/>
          </w:r>
        </w:p>
        <w:p w14:paraId="25BE1ED9">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_Toc24611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6.6 </w:t>
          </w:r>
          <w:r>
            <w:rPr>
              <w:rFonts w:hint="default" w:ascii="Times New Roman" w:hAnsi="Times New Roman" w:cs="Times New Roman"/>
              <w:highlight w:val="none"/>
            </w:rPr>
            <w:t>后续处置</w:t>
          </w:r>
          <w:r>
            <w:tab/>
          </w:r>
          <w:r>
            <w:fldChar w:fldCharType="begin"/>
          </w:r>
          <w:r>
            <w:instrText xml:space="preserve"> PAGEREF _Toc24611 \h </w:instrText>
          </w:r>
          <w:r>
            <w:fldChar w:fldCharType="separate"/>
          </w:r>
          <w:r>
            <w:t>98</w:t>
          </w:r>
          <w:r>
            <w:fldChar w:fldCharType="end"/>
          </w:r>
          <w:r>
            <w:rPr>
              <w:rFonts w:hint="default" w:ascii="Times New Roman" w:hAnsi="Times New Roman" w:cs="Times New Roman"/>
              <w:bCs/>
              <w:color w:val="auto"/>
              <w:highlight w:val="none"/>
              <w:lang w:val="zh-CN"/>
            </w:rPr>
            <w:fldChar w:fldCharType="end"/>
          </w:r>
        </w:p>
        <w:p w14:paraId="671A9294">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_Toc14269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7 </w:t>
          </w:r>
          <w:r>
            <w:rPr>
              <w:rFonts w:hint="default" w:ascii="Times New Roman" w:hAnsi="Times New Roman" w:cs="Times New Roman"/>
              <w:highlight w:val="none"/>
            </w:rPr>
            <w:t>环境培训计划</w:t>
          </w:r>
          <w:r>
            <w:tab/>
          </w:r>
          <w:r>
            <w:fldChar w:fldCharType="begin"/>
          </w:r>
          <w:r>
            <w:instrText xml:space="preserve"> PAGEREF _Toc14269 \h </w:instrText>
          </w:r>
          <w:r>
            <w:fldChar w:fldCharType="separate"/>
          </w:r>
          <w:r>
            <w:t>99</w:t>
          </w:r>
          <w:r>
            <w:fldChar w:fldCharType="end"/>
          </w:r>
          <w:r>
            <w:rPr>
              <w:rFonts w:hint="default" w:ascii="Times New Roman" w:hAnsi="Times New Roman" w:cs="Times New Roman"/>
              <w:bCs/>
              <w:color w:val="auto"/>
              <w:highlight w:val="none"/>
              <w:lang w:val="zh-CN"/>
            </w:rPr>
            <w:fldChar w:fldCharType="end"/>
          </w:r>
        </w:p>
        <w:p w14:paraId="3582C378">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_Toc19207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8 </w:t>
          </w:r>
          <w:r>
            <w:rPr>
              <w:rFonts w:hint="default" w:ascii="Times New Roman" w:hAnsi="Times New Roman" w:cs="Times New Roman"/>
              <w:highlight w:val="none"/>
            </w:rPr>
            <w:t>环境修复计划</w:t>
          </w:r>
          <w:r>
            <w:tab/>
          </w:r>
          <w:r>
            <w:fldChar w:fldCharType="begin"/>
          </w:r>
          <w:r>
            <w:instrText xml:space="preserve"> PAGEREF _Toc19207 \h </w:instrText>
          </w:r>
          <w:r>
            <w:fldChar w:fldCharType="separate"/>
          </w:r>
          <w:r>
            <w:t>100</w:t>
          </w:r>
          <w:r>
            <w:fldChar w:fldCharType="end"/>
          </w:r>
          <w:r>
            <w:rPr>
              <w:rFonts w:hint="default" w:ascii="Times New Roman" w:hAnsi="Times New Roman" w:cs="Times New Roman"/>
              <w:bCs/>
              <w:color w:val="auto"/>
              <w:highlight w:val="none"/>
              <w:lang w:val="zh-CN"/>
            </w:rPr>
            <w:fldChar w:fldCharType="end"/>
          </w:r>
        </w:p>
        <w:p w14:paraId="2FA3912C">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_Toc32337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8.1 </w:t>
          </w:r>
          <w:r>
            <w:rPr>
              <w:rFonts w:hint="default" w:ascii="Times New Roman" w:hAnsi="Times New Roman" w:cs="Times New Roman"/>
              <w:highlight w:val="none"/>
            </w:rPr>
            <w:t>场地环境调查</w:t>
          </w:r>
          <w:r>
            <w:tab/>
          </w:r>
          <w:r>
            <w:fldChar w:fldCharType="begin"/>
          </w:r>
          <w:r>
            <w:instrText xml:space="preserve"> PAGEREF _Toc32337 \h </w:instrText>
          </w:r>
          <w:r>
            <w:fldChar w:fldCharType="separate"/>
          </w:r>
          <w:r>
            <w:t>100</w:t>
          </w:r>
          <w:r>
            <w:fldChar w:fldCharType="end"/>
          </w:r>
          <w:r>
            <w:rPr>
              <w:rFonts w:hint="default" w:ascii="Times New Roman" w:hAnsi="Times New Roman" w:cs="Times New Roman"/>
              <w:bCs/>
              <w:color w:val="auto"/>
              <w:highlight w:val="none"/>
              <w:lang w:val="zh-CN"/>
            </w:rPr>
            <w:fldChar w:fldCharType="end"/>
          </w:r>
        </w:p>
        <w:p w14:paraId="09A121B1">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_Toc10925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8.2 </w:t>
          </w:r>
          <w:r>
            <w:rPr>
              <w:rFonts w:hint="default" w:ascii="Times New Roman" w:hAnsi="Times New Roman" w:cs="Times New Roman"/>
              <w:highlight w:val="none"/>
            </w:rPr>
            <w:t>场地环境及健康风险评估</w:t>
          </w:r>
          <w:r>
            <w:tab/>
          </w:r>
          <w:r>
            <w:fldChar w:fldCharType="begin"/>
          </w:r>
          <w:r>
            <w:instrText xml:space="preserve"> PAGEREF _Toc10925 \h </w:instrText>
          </w:r>
          <w:r>
            <w:fldChar w:fldCharType="separate"/>
          </w:r>
          <w:r>
            <w:t>100</w:t>
          </w:r>
          <w:r>
            <w:fldChar w:fldCharType="end"/>
          </w:r>
          <w:r>
            <w:rPr>
              <w:rFonts w:hint="default" w:ascii="Times New Roman" w:hAnsi="Times New Roman" w:cs="Times New Roman"/>
              <w:bCs/>
              <w:color w:val="auto"/>
              <w:highlight w:val="none"/>
              <w:lang w:val="zh-CN"/>
            </w:rPr>
            <w:fldChar w:fldCharType="end"/>
          </w:r>
        </w:p>
        <w:p w14:paraId="7D58A86C">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_Toc27104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8.3 </w:t>
          </w:r>
          <w:r>
            <w:rPr>
              <w:rFonts w:hint="default" w:ascii="Times New Roman" w:hAnsi="Times New Roman" w:cs="Times New Roman"/>
              <w:highlight w:val="none"/>
            </w:rPr>
            <w:t>场地修复计划</w:t>
          </w:r>
          <w:r>
            <w:tab/>
          </w:r>
          <w:r>
            <w:fldChar w:fldCharType="begin"/>
          </w:r>
          <w:r>
            <w:instrText xml:space="preserve"> PAGEREF _Toc27104 \h </w:instrText>
          </w:r>
          <w:r>
            <w:fldChar w:fldCharType="separate"/>
          </w:r>
          <w:r>
            <w:t>100</w:t>
          </w:r>
          <w:r>
            <w:fldChar w:fldCharType="end"/>
          </w:r>
          <w:r>
            <w:rPr>
              <w:rFonts w:hint="default" w:ascii="Times New Roman" w:hAnsi="Times New Roman" w:cs="Times New Roman"/>
              <w:bCs/>
              <w:color w:val="auto"/>
              <w:highlight w:val="none"/>
              <w:lang w:val="zh-CN"/>
            </w:rPr>
            <w:fldChar w:fldCharType="end"/>
          </w:r>
        </w:p>
        <w:p w14:paraId="48932AFE">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_Toc23207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9 </w:t>
          </w:r>
          <w:r>
            <w:rPr>
              <w:rFonts w:hint="default" w:ascii="Times New Roman" w:hAnsi="Times New Roman" w:cs="Times New Roman"/>
              <w:highlight w:val="none"/>
            </w:rPr>
            <w:t>公众参与</w:t>
          </w:r>
          <w:r>
            <w:tab/>
          </w:r>
          <w:r>
            <w:fldChar w:fldCharType="begin"/>
          </w:r>
          <w:r>
            <w:instrText xml:space="preserve"> PAGEREF _Toc23207 \h </w:instrText>
          </w:r>
          <w:r>
            <w:fldChar w:fldCharType="separate"/>
          </w:r>
          <w:r>
            <w:t>101</w:t>
          </w:r>
          <w:r>
            <w:fldChar w:fldCharType="end"/>
          </w:r>
          <w:r>
            <w:rPr>
              <w:rFonts w:hint="default" w:ascii="Times New Roman" w:hAnsi="Times New Roman" w:cs="Times New Roman"/>
              <w:bCs/>
              <w:color w:val="auto"/>
              <w:highlight w:val="none"/>
              <w:lang w:val="zh-CN"/>
            </w:rPr>
            <w:fldChar w:fldCharType="end"/>
          </w:r>
        </w:p>
        <w:p w14:paraId="6FCE6374">
          <w:pPr>
            <w:pStyle w:val="21"/>
            <w:tabs>
              <w:tab w:val="right" w:leader="dot" w:pos="8306"/>
              <w:tab w:val="clear" w:pos="426"/>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_Toc19358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10 </w:t>
          </w:r>
          <w:r>
            <w:rPr>
              <w:rFonts w:hint="default" w:ascii="Times New Roman" w:hAnsi="Times New Roman" w:cs="Times New Roman"/>
              <w:highlight w:val="none"/>
            </w:rPr>
            <w:t>环境管理预算及进度安排</w:t>
          </w:r>
          <w:r>
            <w:tab/>
          </w:r>
          <w:r>
            <w:fldChar w:fldCharType="begin"/>
          </w:r>
          <w:r>
            <w:instrText xml:space="preserve"> PAGEREF _Toc19358 \h </w:instrText>
          </w:r>
          <w:r>
            <w:fldChar w:fldCharType="separate"/>
          </w:r>
          <w:r>
            <w:t>104</w:t>
          </w:r>
          <w:r>
            <w:fldChar w:fldCharType="end"/>
          </w:r>
          <w:r>
            <w:rPr>
              <w:rFonts w:hint="default" w:ascii="Times New Roman" w:hAnsi="Times New Roman" w:cs="Times New Roman"/>
              <w:bCs/>
              <w:color w:val="auto"/>
              <w:highlight w:val="none"/>
              <w:lang w:val="zh-CN"/>
            </w:rPr>
            <w:fldChar w:fldCharType="end"/>
          </w:r>
        </w:p>
        <w:p w14:paraId="206F8C20">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_Toc899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10.1 </w:t>
          </w:r>
          <w:r>
            <w:rPr>
              <w:rFonts w:hint="default" w:ascii="Times New Roman" w:hAnsi="Times New Roman" w:cs="Times New Roman"/>
              <w:highlight w:val="none"/>
            </w:rPr>
            <w:t>环境管理预算</w:t>
          </w:r>
          <w:r>
            <w:tab/>
          </w:r>
          <w:r>
            <w:fldChar w:fldCharType="begin"/>
          </w:r>
          <w:r>
            <w:instrText xml:space="preserve"> PAGEREF _Toc899 \h </w:instrText>
          </w:r>
          <w:r>
            <w:fldChar w:fldCharType="separate"/>
          </w:r>
          <w:r>
            <w:t>104</w:t>
          </w:r>
          <w:r>
            <w:fldChar w:fldCharType="end"/>
          </w:r>
          <w:r>
            <w:rPr>
              <w:rFonts w:hint="default" w:ascii="Times New Roman" w:hAnsi="Times New Roman" w:cs="Times New Roman"/>
              <w:bCs/>
              <w:color w:val="auto"/>
              <w:highlight w:val="none"/>
              <w:lang w:val="zh-CN"/>
            </w:rPr>
            <w:fldChar w:fldCharType="end"/>
          </w:r>
        </w:p>
        <w:p w14:paraId="1098C378">
          <w:pPr>
            <w:pStyle w:val="24"/>
            <w:tabs>
              <w:tab w:val="right" w:leader="dot" w:pos="8306"/>
              <w:tab w:val="clear" w:pos="1134"/>
              <w:tab w:val="clear" w:pos="8296"/>
            </w:tabs>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highlight w:val="none"/>
              <w:lang w:val="zh-CN"/>
            </w:rPr>
            <w:instrText xml:space="preserve"> HYPERLINK \l _Toc32108 </w:instrText>
          </w:r>
          <w:r>
            <w:rPr>
              <w:rFonts w:hint="default" w:ascii="Times New Roman" w:hAnsi="Times New Roman" w:cs="Times New Roman"/>
              <w:bCs/>
              <w:highlight w:val="none"/>
              <w:lang w:val="zh-CN"/>
            </w:rPr>
            <w:fldChar w:fldCharType="separate"/>
          </w:r>
          <w:r>
            <w:rPr>
              <w:rFonts w:hint="default" w:ascii="Times New Roman" w:hAnsi="Times New Roman" w:cs="Times New Roman"/>
              <w:highlight w:val="none"/>
              <w:lang w:val="en-US" w:eastAsia="zh-CN"/>
            </w:rPr>
            <w:t xml:space="preserve">10.2 </w:t>
          </w:r>
          <w:r>
            <w:rPr>
              <w:rFonts w:hint="default" w:ascii="Times New Roman" w:hAnsi="Times New Roman" w:cs="Times New Roman"/>
              <w:highlight w:val="none"/>
            </w:rPr>
            <w:t>进度安排</w:t>
          </w:r>
          <w:r>
            <w:tab/>
          </w:r>
          <w:r>
            <w:fldChar w:fldCharType="begin"/>
          </w:r>
          <w:r>
            <w:instrText xml:space="preserve"> PAGEREF _Toc32108 \h </w:instrText>
          </w:r>
          <w:r>
            <w:fldChar w:fldCharType="separate"/>
          </w:r>
          <w:r>
            <w:t>104</w:t>
          </w:r>
          <w:r>
            <w:fldChar w:fldCharType="end"/>
          </w:r>
          <w:r>
            <w:rPr>
              <w:rFonts w:hint="default" w:ascii="Times New Roman" w:hAnsi="Times New Roman" w:cs="Times New Roman"/>
              <w:bCs/>
              <w:color w:val="auto"/>
              <w:highlight w:val="none"/>
              <w:lang w:val="zh-CN"/>
            </w:rPr>
            <w:fldChar w:fldCharType="end"/>
          </w:r>
        </w:p>
        <w:p w14:paraId="356FDEB8">
          <w:pPr>
            <w:pageBreakBefore w:val="0"/>
            <w:kinsoku/>
            <w:wordWrap/>
            <w:overflowPunct/>
            <w:topLinePunct w:val="0"/>
            <w:autoSpaceDE/>
            <w:autoSpaceDN/>
            <w:bidi w:val="0"/>
            <w:adjustRightInd/>
            <w:snapToGrid/>
            <w:spacing w:line="312" w:lineRule="auto"/>
            <w:ind w:firstLine="477" w:firstLineChars="199"/>
            <w:textAlignment w:val="auto"/>
            <w:rPr>
              <w:rFonts w:hint="default" w:ascii="Times New Roman" w:hAnsi="Times New Roman" w:cs="Times New Roman"/>
              <w:color w:val="auto"/>
              <w:highlight w:val="none"/>
            </w:rPr>
          </w:pPr>
          <w:r>
            <w:rPr>
              <w:rFonts w:hint="default" w:ascii="Times New Roman" w:hAnsi="Times New Roman" w:cs="Times New Roman"/>
              <w:bCs/>
              <w:color w:val="auto"/>
              <w:highlight w:val="none"/>
              <w:lang w:val="zh-CN"/>
            </w:rPr>
            <w:fldChar w:fldCharType="end"/>
          </w:r>
        </w:p>
      </w:sdtContent>
    </w:sdt>
    <w:p w14:paraId="2AC14A05">
      <w:pPr>
        <w:widowControl/>
        <w:jc w:val="left"/>
        <w:rPr>
          <w:rFonts w:hint="default" w:ascii="Times New Roman" w:hAnsi="Times New Roman" w:cs="Times New Roman"/>
          <w:color w:val="auto"/>
          <w:highlight w:val="none"/>
        </w:rPr>
        <w:sectPr>
          <w:footerReference r:id="rId12" w:type="default"/>
          <w:footerReference r:id="rId13" w:type="even"/>
          <w:pgSz w:w="11906" w:h="16838"/>
          <w:pgMar w:top="1440" w:right="1800" w:bottom="1440" w:left="1800" w:header="794" w:footer="992" w:gutter="0"/>
          <w:pgNumType w:fmt="upperRoman" w:start="1"/>
          <w:cols w:space="425" w:num="1"/>
          <w:docGrid w:type="lines" w:linePitch="326" w:charSpace="0"/>
        </w:sectPr>
      </w:pPr>
    </w:p>
    <w:p w14:paraId="195ECC83">
      <w:pPr>
        <w:pStyle w:val="2"/>
        <w:numPr>
          <w:ilvl w:val="0"/>
          <w:numId w:val="0"/>
        </w:numPr>
        <w:bidi w:val="0"/>
        <w:ind w:leftChars="0"/>
        <w:rPr>
          <w:rFonts w:hint="default" w:ascii="Times New Roman" w:hAnsi="Times New Roman" w:cs="Times New Roman"/>
          <w:color w:val="auto"/>
          <w:highlight w:val="none"/>
        </w:rPr>
      </w:pPr>
      <w:bookmarkStart w:id="7" w:name="_Toc406099799"/>
      <w:bookmarkStart w:id="8" w:name="_Toc406099675"/>
      <w:bookmarkStart w:id="9" w:name="_Toc29384"/>
      <w:r>
        <w:rPr>
          <w:rFonts w:hint="default" w:ascii="Times New Roman" w:hAnsi="Times New Roman" w:cs="Times New Roman"/>
          <w:color w:val="auto"/>
          <w:highlight w:val="none"/>
          <w:lang w:val="en-US" w:eastAsia="zh-CN"/>
        </w:rPr>
        <w:t xml:space="preserve">1 </w:t>
      </w:r>
      <w:r>
        <w:rPr>
          <w:rFonts w:hint="default" w:ascii="Times New Roman" w:hAnsi="Times New Roman" w:cs="Times New Roman"/>
          <w:color w:val="auto"/>
          <w:highlight w:val="none"/>
        </w:rPr>
        <w:t>概述</w:t>
      </w:r>
      <w:bookmarkEnd w:id="6"/>
      <w:bookmarkEnd w:id="7"/>
      <w:bookmarkEnd w:id="8"/>
      <w:bookmarkEnd w:id="9"/>
    </w:p>
    <w:p w14:paraId="064C6135">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highlight w:val="none"/>
        </w:rPr>
        <w:t>本次项目为生产线关闭及拆除项目，并且不涉及放射性环境影响，因此根据中国目前的环境影响评价法律法规以及</w:t>
      </w:r>
      <w:bookmarkStart w:id="10" w:name="OLE_LINK27"/>
      <w:r>
        <w:rPr>
          <w:rFonts w:hint="default" w:ascii="Times New Roman" w:hAnsi="Times New Roman" w:cs="Times New Roman"/>
          <w:color w:val="auto"/>
          <w:highlight w:val="none"/>
        </w:rPr>
        <w:t>世界银行</w:t>
      </w:r>
      <w:r>
        <w:rPr>
          <w:rFonts w:hint="default" w:ascii="Times New Roman" w:hAnsi="Times New Roman" w:cs="Times New Roman"/>
          <w:color w:val="auto"/>
          <w:highlight w:val="none"/>
          <w:lang w:val="en-US" w:eastAsia="zh-CN"/>
        </w:rPr>
        <w:t>环境和社会框架</w:t>
      </w:r>
      <w:bookmarkEnd w:id="10"/>
      <w:r>
        <w:rPr>
          <w:rFonts w:hint="default" w:ascii="Times New Roman" w:hAnsi="Times New Roman" w:cs="Times New Roman"/>
          <w:color w:val="auto"/>
          <w:highlight w:val="none"/>
        </w:rPr>
        <w:t>的相关规定及要求，需履行环评管理手续，如备案等。无需另行编制和提交该项目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环境影响评价报告书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HCFC-141b</w:t>
      </w:r>
      <w:r>
        <w:rPr>
          <w:rFonts w:hint="default" w:ascii="Times New Roman" w:hAnsi="Times New Roman" w:cs="Times New Roman"/>
          <w:color w:val="auto"/>
          <w:highlight w:val="none"/>
          <w:lang w:val="en-US" w:eastAsia="zh-CN"/>
        </w:rPr>
        <w:t>生产项目</w:t>
      </w:r>
      <w:r>
        <w:rPr>
          <w:rFonts w:hint="default" w:ascii="Times New Roman" w:hAnsi="Times New Roman" w:cs="Times New Roman"/>
          <w:color w:val="auto"/>
          <w:highlight w:val="none"/>
        </w:rPr>
        <w:t>于2008年迁建至新厂区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2008年</w:t>
      </w:r>
      <w:r>
        <w:rPr>
          <w:rFonts w:hint="default" w:ascii="Times New Roman" w:hAnsi="Times New Roman" w:cs="Times New Roman"/>
          <w:color w:val="auto"/>
          <w:highlight w:val="none"/>
        </w:rPr>
        <w:t>受常熟三爱富氟化工有限责任公司的委托，江苏南大戈德环保科技有限公司</w:t>
      </w:r>
      <w:r>
        <w:rPr>
          <w:rFonts w:hint="default" w:ascii="Times New Roman" w:hAnsi="Times New Roman" w:cs="Times New Roman"/>
          <w:color w:val="auto"/>
          <w:highlight w:val="none"/>
          <w:lang w:val="en-US" w:eastAsia="zh-CN"/>
        </w:rPr>
        <w:t>完成了</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24"/>
          <w:highlight w:val="none"/>
          <w:lang w:eastAsia="zh-CN"/>
        </w:rPr>
        <w:t>常熟三爱富氟化工</w:t>
      </w:r>
      <w:r>
        <w:rPr>
          <w:rFonts w:hint="default" w:ascii="Times New Roman" w:hAnsi="Times New Roman" w:cs="Times New Roman"/>
          <w:color w:val="auto"/>
          <w:szCs w:val="24"/>
          <w:highlight w:val="none"/>
          <w:lang w:val="en-US" w:eastAsia="zh-CN"/>
        </w:rPr>
        <w:t>有限公司</w:t>
      </w:r>
      <w:r>
        <w:rPr>
          <w:rFonts w:hint="default" w:ascii="Times New Roman" w:hAnsi="Times New Roman" w:cs="Times New Roman"/>
          <w:color w:val="auto"/>
          <w:highlight w:val="none"/>
        </w:rPr>
        <w:t>年产3000吨三氟氯乙烯扩建项目及年产30000吨1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1-二氯-1-氟乙烷搬迁技改项目的环境影响评价</w:t>
      </w:r>
      <w:r>
        <w:rPr>
          <w:rFonts w:hint="default" w:ascii="Times New Roman" w:hAnsi="Times New Roman" w:cs="Times New Roman"/>
          <w:color w:val="auto"/>
          <w:highlight w:val="none"/>
          <w:lang w:val="en-US" w:eastAsia="zh-CN"/>
        </w:rPr>
        <w:t>报告书</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lang w:val="en-US" w:eastAsia="zh-CN"/>
        </w:rPr>
        <w:t>编制</w:t>
      </w:r>
      <w:r>
        <w:rPr>
          <w:rFonts w:hint="default" w:ascii="Times New Roman" w:hAnsi="Times New Roman" w:cs="Times New Roman"/>
          <w:color w:val="auto"/>
          <w:highlight w:val="none"/>
        </w:rPr>
        <w:t>。</w:t>
      </w:r>
      <w:r>
        <w:rPr>
          <w:rFonts w:hint="default" w:ascii="Times New Roman" w:hAnsi="Times New Roman" w:cs="Times New Roman"/>
          <w:color w:val="auto"/>
          <w:szCs w:val="24"/>
          <w:highlight w:val="none"/>
        </w:rPr>
        <w:t>HCFC-141b生产线拆除项目已报备江苏常熟新材料产业园环境保护部，设备拆除时江苏常熟新材料产业园环境保护部会现场见证拆除。</w:t>
      </w:r>
    </w:p>
    <w:p w14:paraId="5D0834E5">
      <w:pP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蒙特利尔议定书》69次执委会69/28号决议批准了中国第一阶段HCFCs生产行业淘汰管理计划（HPPMP），在2013年实现HCFCs生产量冻结在2009年至2010年的平均生产量，并在2015年实现HCFCs生产量在基线产量的基础上削减10%的淘汰目标。在多边基金执委会与中国达成的HCFCs生产行业的决定中，要求中国优化实施战略，优先考虑关闭HCFCs生产线的实施方式，并承诺到2030年拆除或报废约55万吨的HCFCs生产能力。同时，多边基金对生产行业的政策指南中要求关厂项目应考虑对场地清理的环境管理要求。</w:t>
      </w:r>
    </w:p>
    <w:p w14:paraId="44209AF8">
      <w:pP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世界银行作为该项目的国际执行机构，根据多边基金执委会的政策对项目实施进行监督和指导。世界银行总体上要求中国在项目实施过程中要遵守世界银行的环境安全政策，特别是对关厂项目有较为严格的环境管理要求，在项目实施过程中明确要求需提交环境管理计划书（EMP）。同时，环境保护部环境保护对外合作中心（以下简称</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生态环境部对外合作</w:t>
      </w:r>
      <w:r>
        <w:rPr>
          <w:rFonts w:hint="default" w:ascii="Times New Roman" w:hAnsi="Times New Roman" w:cs="Times New Roman"/>
          <w:color w:val="auto"/>
          <w:szCs w:val="24"/>
          <w:highlight w:val="none"/>
          <w:lang w:val="en-US" w:eastAsia="zh-CN"/>
        </w:rPr>
        <w:t>与交流</w:t>
      </w:r>
      <w:r>
        <w:rPr>
          <w:rFonts w:hint="default" w:ascii="Times New Roman" w:hAnsi="Times New Roman" w:cs="Times New Roman"/>
          <w:color w:val="auto"/>
          <w:szCs w:val="24"/>
          <w:highlight w:val="none"/>
        </w:rPr>
        <w:t>中心</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）负责上述行业计划在中国的具体实施工作，以便为行业计划的顺利实施提供技术支持。</w:t>
      </w:r>
    </w:p>
    <w:p w14:paraId="272C94A7">
      <w:pPr>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编制本环境管理计划，旨在为该公司HCFC-141b生产线关闭项目实施过程中，提供一份全面的环境管理方案，并且本环境管理计划应符合国家法律、法规和技术指南的规定，以及世界银行</w:t>
      </w:r>
      <w:r>
        <w:rPr>
          <w:rFonts w:hint="default" w:ascii="Times New Roman" w:hAnsi="Times New Roman" w:cs="Times New Roman"/>
          <w:color w:val="auto"/>
          <w:highlight w:val="none"/>
          <w:lang w:val="en-US" w:eastAsia="zh-CN"/>
        </w:rPr>
        <w:t>环境和社会框架</w:t>
      </w:r>
      <w:r>
        <w:rPr>
          <w:rFonts w:hint="default" w:ascii="Times New Roman" w:hAnsi="Times New Roman" w:cs="Times New Roman"/>
          <w:color w:val="auto"/>
          <w:highlight w:val="none"/>
        </w:rPr>
        <w:t>，包括《世界银行集团环境、健康与安全指南》的相关要求，应用高效、经济的管理手段，实现项目环境影响缓解的目标。</w:t>
      </w:r>
    </w:p>
    <w:p w14:paraId="53ACDA3F">
      <w:pPr>
        <w:rPr>
          <w:rFonts w:hint="default" w:ascii="Times New Roman" w:hAnsi="Times New Roman" w:cs="Times New Roman"/>
          <w:color w:val="auto"/>
          <w:highlight w:val="none"/>
        </w:rPr>
      </w:pPr>
      <w:r>
        <w:rPr>
          <w:rFonts w:hint="default" w:ascii="Times New Roman" w:hAnsi="Times New Roman" w:cs="Times New Roman"/>
          <w:color w:val="auto"/>
          <w:highlight w:val="none"/>
        </w:rPr>
        <w:t>本环境管理计划（EMP）适用于</w:t>
      </w:r>
      <w:r>
        <w:rPr>
          <w:rFonts w:hint="default" w:ascii="Times New Roman" w:hAnsi="Times New Roman" w:cs="Times New Roman"/>
          <w:color w:val="auto"/>
          <w:highlight w:val="none"/>
          <w:lang w:eastAsia="zh-CN"/>
        </w:rPr>
        <w:t>常熟三爱富氟化工有限责任公司</w:t>
      </w:r>
      <w:r>
        <w:rPr>
          <w:rFonts w:hint="default" w:ascii="Times New Roman" w:hAnsi="Times New Roman" w:cs="Times New Roman"/>
          <w:color w:val="auto"/>
          <w:highlight w:val="none"/>
        </w:rPr>
        <w:t>（以下简称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三爱富公司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）HCFC-141b生产线关闭项目，该项目由三爱富公司负责实施。</w:t>
      </w:r>
    </w:p>
    <w:p w14:paraId="5003E2FE">
      <w:pPr>
        <w:pStyle w:val="3"/>
        <w:keepNext/>
        <w:keepLines w:val="0"/>
        <w:pageBreakBefore w:val="0"/>
        <w:widowControl w:val="0"/>
        <w:numPr>
          <w:ilvl w:val="1"/>
          <w:numId w:val="0"/>
        </w:numPr>
        <w:kinsoku/>
        <w:wordWrap/>
        <w:overflowPunct/>
        <w:topLinePunct w:val="0"/>
        <w:autoSpaceDE/>
        <w:autoSpaceDN/>
        <w:bidi w:val="0"/>
        <w:adjustRightInd/>
        <w:snapToGrid/>
        <w:ind w:leftChars="0"/>
        <w:textAlignment w:val="auto"/>
        <w:rPr>
          <w:rFonts w:hint="default" w:ascii="Times New Roman" w:hAnsi="Times New Roman" w:cs="Times New Roman"/>
          <w:color w:val="auto"/>
          <w:highlight w:val="none"/>
        </w:rPr>
      </w:pPr>
      <w:bookmarkStart w:id="11" w:name="_Toc406099526"/>
      <w:bookmarkStart w:id="12" w:name="_Toc406099678"/>
      <w:bookmarkStart w:id="13" w:name="_Toc406099802"/>
      <w:bookmarkStart w:id="14" w:name="_Toc29645"/>
      <w:bookmarkStart w:id="15" w:name="_Toc406099524"/>
      <w:bookmarkStart w:id="16" w:name="_Toc406099800"/>
      <w:bookmarkStart w:id="17" w:name="_Toc406099676"/>
      <w:r>
        <w:rPr>
          <w:rFonts w:hint="default" w:ascii="Times New Roman" w:hAnsi="Times New Roman" w:cs="Times New Roman"/>
          <w:color w:val="auto"/>
          <w:highlight w:val="none"/>
          <w:lang w:val="en-US" w:eastAsia="zh-CN"/>
        </w:rPr>
        <w:t xml:space="preserve">1.1 </w:t>
      </w:r>
      <w:r>
        <w:rPr>
          <w:rFonts w:hint="default" w:ascii="Times New Roman" w:hAnsi="Times New Roman" w:cs="Times New Roman"/>
          <w:color w:val="auto"/>
          <w:highlight w:val="none"/>
        </w:rPr>
        <w:t>项目概况</w:t>
      </w:r>
      <w:bookmarkEnd w:id="11"/>
      <w:bookmarkEnd w:id="12"/>
      <w:bookmarkEnd w:id="13"/>
      <w:bookmarkEnd w:id="14"/>
    </w:p>
    <w:p w14:paraId="64A7FBBC">
      <w:pPr>
        <w:pStyle w:val="4"/>
        <w:numPr>
          <w:ilvl w:val="0"/>
          <w:numId w:val="0"/>
        </w:numPr>
        <w:bidi w:val="0"/>
        <w:ind w:leftChars="0"/>
        <w:rPr>
          <w:rFonts w:hint="default" w:ascii="Times New Roman" w:hAnsi="Times New Roman" w:cs="Times New Roman"/>
          <w:color w:val="auto"/>
          <w:highlight w:val="none"/>
        </w:rPr>
      </w:pPr>
      <w:bookmarkStart w:id="18" w:name="_Toc20384"/>
      <w:r>
        <w:rPr>
          <w:rFonts w:hint="default" w:ascii="Times New Roman" w:hAnsi="Times New Roman" w:cs="Times New Roman"/>
          <w:color w:val="auto"/>
          <w:highlight w:val="none"/>
          <w:lang w:val="en-US" w:eastAsia="zh-CN"/>
        </w:rPr>
        <w:t xml:space="preserve">1.1.1 </w:t>
      </w:r>
      <w:r>
        <w:rPr>
          <w:rFonts w:hint="default" w:ascii="Times New Roman" w:hAnsi="Times New Roman" w:cs="Times New Roman"/>
          <w:color w:val="auto"/>
          <w:highlight w:val="none"/>
        </w:rPr>
        <w:t>企业概况</w:t>
      </w:r>
      <w:bookmarkEnd w:id="18"/>
    </w:p>
    <w:p w14:paraId="7653AB2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常熟三爱富氟化工有限责任公司始建于1975年，原名常熟致冷剂厂，1993年由上海三爱富新材料股份有限公司控股，成立常熟三爱富氟化工有限责任公司，注册资本2830万元。</w:t>
      </w:r>
    </w:p>
    <w:p w14:paraId="74849FEB">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公司坐落于江苏省高科技氟化学工业园，是国家重点高新技术企业和国家火炬计划常熟高分子新材料产业基地骨干企业，2004年被联合国环境规划署和国家环保总局认定为</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保护臭氧层国际公约替代品生产企业</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。公司秉承</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品质最优、产量最大、服务最佳</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的经营理念，建立起科学的企业管理体系和完善的品质保证体系，通过了质量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环境、职业健康等</w:t>
      </w:r>
      <w:r>
        <w:rPr>
          <w:rFonts w:hint="default" w:ascii="Times New Roman" w:hAnsi="Times New Roman" w:eastAsia="宋体" w:cs="Times New Roman"/>
          <w:color w:val="auto"/>
          <w:sz w:val="24"/>
          <w:szCs w:val="24"/>
          <w:highlight w:val="none"/>
        </w:rPr>
        <w:t>管理体系认证。公司专业从事氟致冷剂、清洗剂、氟利昂替代品、含氟高分子新材料及含氟精细化学品的研究开发、生产、销售。</w:t>
      </w:r>
    </w:p>
    <w:p w14:paraId="5F29FB7E">
      <w:pPr>
        <w:keepNext w:val="0"/>
        <w:keepLines w:val="0"/>
        <w:pageBreakBefore w:val="0"/>
        <w:widowControl w:val="0"/>
        <w:kinsoku/>
        <w:wordWrap/>
        <w:overflowPunct/>
        <w:topLinePunct w:val="0"/>
        <w:autoSpaceDE/>
        <w:autoSpaceDN/>
        <w:bidi w:val="0"/>
        <w:adjustRightInd/>
        <w:snapToGrid/>
        <w:spacing w:line="360" w:lineRule="auto"/>
        <w:ind w:firstLine="573"/>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履行《关于消耗臭氧层物资的蒙特利尔议定书》缔约国义务，遵循《中国消耗臭氧层物资逐步淘汰国家方案》。公司于2007年6月30日前停止F11、F12、F113、F115配额生产，并于全面实施了对CFC-11、CFC-12、CFC-115生产线装置现场的拆除消毁工作，国家环保总局、世界银行、联合国开发计划署、联合国环境规划署以及国内外企业的代表共同见证了中国全面停止CFC生产的历史时刻，是国内同行中淘汰品种最多的企业。</w:t>
      </w:r>
    </w:p>
    <w:p w14:paraId="70CA642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为实现企业更快更好地发展，公司紧紧把握沿江开发开放的机遇，依托</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江苏高科技氟化学工业园</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常熟新材料产业园）</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的优势，通过规划老厂区的逐步搬迁，加快国家火炬计划常熟高分子新材料产业基地建设，全力打造具有国际一流水平的保护臭氧层国际公约替代品生产企业。于200</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年启动新厂区建设，立足高起点、高科技、高投入、高产出，积极发展具有世界先进水平和国际竞争强势的环保型含氟高科技、高附加值新产品集群。</w:t>
      </w:r>
    </w:p>
    <w:p w14:paraId="2BD2C8D2">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1.1.1.1 企业历史</w:t>
      </w:r>
    </w:p>
    <w:p w14:paraId="5B97DC0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三爱富公司</w:t>
      </w:r>
      <w:r>
        <w:rPr>
          <w:rFonts w:hint="default" w:ascii="Times New Roman" w:hAnsi="Times New Roman" w:cs="Times New Roman"/>
          <w:color w:val="auto"/>
          <w:highlight w:val="none"/>
          <w:lang w:val="en-US" w:eastAsia="zh-CN"/>
        </w:rPr>
        <w:t>成立于1994年。</w:t>
      </w:r>
      <w:r>
        <w:rPr>
          <w:rFonts w:hint="default" w:ascii="Times New Roman" w:hAnsi="Times New Roman" w:cs="Times New Roman"/>
          <w:color w:val="auto"/>
          <w:highlight w:val="none"/>
        </w:rPr>
        <w:t>老厂坐落于常熟市海虞镇福山（南），总占地面积100亩。由于老厂设备陈旧，所在区域又为较为敏感的镇区，居住人群密度大，根据常熟市政府提出的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退二进三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的整体规划，为了方便统一管理和降低各项环境污染和风险，老厂决定将项目于2004年至2008年之间逐步迁入氟化工园区新厂区内，老厂届时将全部停产。</w:t>
      </w:r>
    </w:p>
    <w:p w14:paraId="4D5BE426">
      <w:pPr>
        <w:bidi w:val="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常熟三爱富公司</w:t>
      </w:r>
      <w:r>
        <w:rPr>
          <w:rFonts w:hint="default" w:ascii="Times New Roman" w:hAnsi="Times New Roman" w:eastAsia="宋体" w:cs="Times New Roman"/>
          <w:color w:val="auto"/>
          <w:sz w:val="24"/>
          <w:szCs w:val="24"/>
          <w:highlight w:val="none"/>
          <w:lang w:val="en-US" w:eastAsia="zh-CN"/>
        </w:rPr>
        <w:t>新</w:t>
      </w:r>
      <w:r>
        <w:rPr>
          <w:rFonts w:hint="default" w:ascii="Times New Roman" w:hAnsi="Times New Roman" w:eastAsia="宋体" w:cs="Times New Roman"/>
          <w:color w:val="auto"/>
          <w:sz w:val="24"/>
          <w:szCs w:val="24"/>
          <w:highlight w:val="none"/>
        </w:rPr>
        <w:t>厂区占地面积</w:t>
      </w:r>
      <w:r>
        <w:rPr>
          <w:rFonts w:hint="default" w:ascii="Times New Roman" w:hAnsi="Times New Roman" w:cs="Times New Roman"/>
          <w:color w:val="auto"/>
          <w:sz w:val="24"/>
          <w:szCs w:val="24"/>
          <w:highlight w:val="none"/>
        </w:rPr>
        <w:t>151835.9平方</w:t>
      </w:r>
      <w:r>
        <w:rPr>
          <w:rFonts w:hint="default" w:ascii="Times New Roman" w:hAnsi="Times New Roman"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位于常熟新材料产业园昌虞路2号，</w:t>
      </w:r>
      <w:r>
        <w:rPr>
          <w:rFonts w:hint="default" w:ascii="Times New Roman" w:hAnsi="Times New Roman" w:eastAsia="宋体" w:cs="Times New Roman"/>
          <w:color w:val="auto"/>
          <w:sz w:val="24"/>
          <w:szCs w:val="24"/>
          <w:highlight w:val="none"/>
        </w:rPr>
        <w:t>现有</w:t>
      </w:r>
      <w:r>
        <w:rPr>
          <w:rFonts w:hint="default" w:ascii="Times New Roman" w:hAnsi="Times New Roman" w:cs="Times New Roman"/>
          <w:color w:val="auto"/>
          <w:sz w:val="24"/>
          <w:szCs w:val="24"/>
          <w:highlight w:val="none"/>
          <w:lang w:val="en-US" w:eastAsia="zh-CN"/>
        </w:rPr>
        <w:t>员</w:t>
      </w:r>
      <w:r>
        <w:rPr>
          <w:rFonts w:hint="default" w:ascii="Times New Roman" w:hAnsi="Times New Roman" w:eastAsia="宋体" w:cs="Times New Roman"/>
          <w:color w:val="auto"/>
          <w:sz w:val="24"/>
          <w:szCs w:val="24"/>
          <w:highlight w:val="none"/>
        </w:rPr>
        <w:t>工4</w:t>
      </w:r>
      <w:r>
        <w:rPr>
          <w:rFonts w:hint="default" w:ascii="Times New Roman" w:hAnsi="Times New Roman" w:cs="Times New Roman"/>
          <w:color w:val="auto"/>
          <w:sz w:val="24"/>
          <w:szCs w:val="24"/>
          <w:highlight w:val="none"/>
          <w:lang w:val="en-US" w:eastAsia="zh-CN"/>
        </w:rPr>
        <w:t>00余</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val="en-US" w:eastAsia="zh-CN"/>
        </w:rPr>
        <w:t>公司</w:t>
      </w:r>
      <w:r>
        <w:rPr>
          <w:rFonts w:hint="default" w:ascii="Times New Roman" w:hAnsi="Times New Roman" w:eastAsia="宋体" w:cs="Times New Roman"/>
          <w:color w:val="auto"/>
          <w:sz w:val="24"/>
          <w:szCs w:val="24"/>
          <w:highlight w:val="none"/>
        </w:rPr>
        <w:t>目前已建成年产3000吨三氟氯乙烯（CTFE）生产装置，年产30000吨无水氟化氢（AHF）生产装置，年产30000吨二氟一氯乙烷（F141b）生产装置，年产24000吨1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1-三氯三氟乙烷（F113a）生产装置（一期6000吨，二期18000吨，以及配套F113生产装置）</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000吨</w:t>
      </w:r>
      <w:r>
        <w:rPr>
          <w:rFonts w:hint="default" w:ascii="Times New Roman" w:hAnsi="Times New Roman" w:eastAsia="宋体" w:cs="Times New Roman"/>
          <w:color w:val="auto"/>
          <w:sz w:val="24"/>
          <w:szCs w:val="24"/>
          <w:highlight w:val="none"/>
          <w:lang w:val="en-US" w:eastAsia="zh-CN"/>
        </w:rPr>
        <w:t>六氟丙烯</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HFP</w:t>
      </w:r>
      <w:r>
        <w:rPr>
          <w:rFonts w:hint="default" w:ascii="Times New Roman" w:hAnsi="Times New Roman" w:eastAsia="宋体" w:cs="Times New Roman"/>
          <w:color w:val="auto"/>
          <w:sz w:val="24"/>
          <w:szCs w:val="24"/>
          <w:highlight w:val="none"/>
        </w:rPr>
        <w:t>）生产装置</w:t>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000吨</w:t>
      </w:r>
      <w:r>
        <w:rPr>
          <w:rFonts w:hint="default" w:ascii="Times New Roman" w:hAnsi="Times New Roman" w:eastAsia="宋体" w:cs="Times New Roman"/>
          <w:color w:val="auto"/>
          <w:sz w:val="24"/>
          <w:szCs w:val="24"/>
          <w:highlight w:val="none"/>
          <w:lang w:val="en-US" w:eastAsia="zh-CN"/>
        </w:rPr>
        <w:t>偏氟乙烯</w:t>
      </w:r>
      <w:r>
        <w:rPr>
          <w:rFonts w:hint="default" w:ascii="Times New Roman" w:hAnsi="Times New Roman" w:eastAsia="宋体" w:cs="Times New Roman"/>
          <w:color w:val="auto"/>
          <w:sz w:val="24"/>
          <w:szCs w:val="24"/>
          <w:highlight w:val="none"/>
        </w:rPr>
        <w:t>（简称：</w:t>
      </w:r>
      <w:r>
        <w:rPr>
          <w:rFonts w:hint="default" w:ascii="Times New Roman" w:hAnsi="Times New Roman" w:eastAsia="宋体" w:cs="Times New Roman"/>
          <w:color w:val="auto"/>
          <w:sz w:val="24"/>
          <w:szCs w:val="24"/>
          <w:highlight w:val="none"/>
          <w:lang w:val="en-US" w:eastAsia="zh-CN"/>
        </w:rPr>
        <w:t>VDF</w:t>
      </w:r>
      <w:r>
        <w:rPr>
          <w:rFonts w:hint="default" w:ascii="Times New Roman" w:hAnsi="Times New Roman" w:eastAsia="宋体" w:cs="Times New Roman"/>
          <w:color w:val="auto"/>
          <w:sz w:val="24"/>
          <w:szCs w:val="24"/>
          <w:highlight w:val="none"/>
        </w:rPr>
        <w:t>）生产装置。</w:t>
      </w:r>
      <w:r>
        <w:rPr>
          <w:rFonts w:hint="default" w:ascii="Times New Roman" w:hAnsi="Times New Roman" w:cs="Times New Roman"/>
          <w:color w:val="auto"/>
          <w:highlight w:val="none"/>
          <w:lang w:val="en-US" w:eastAsia="zh-CN"/>
        </w:rPr>
        <w:t>其中</w:t>
      </w:r>
      <w:r>
        <w:rPr>
          <w:rFonts w:hint="default" w:ascii="Times New Roman" w:hAnsi="Times New Roman" w:cs="Times New Roman"/>
          <w:color w:val="auto"/>
          <w:highlight w:val="none"/>
        </w:rPr>
        <w:t>30000t/a一氟二氯乙烷（F141b）生产装置</w:t>
      </w:r>
      <w:r>
        <w:rPr>
          <w:rFonts w:hint="default" w:ascii="Times New Roman" w:hAnsi="Times New Roman" w:cs="Times New Roman"/>
          <w:color w:val="auto"/>
          <w:highlight w:val="none"/>
          <w:lang w:val="en-US" w:eastAsia="zh-CN"/>
        </w:rPr>
        <w:t>（以下简称“</w:t>
      </w:r>
      <w:r>
        <w:rPr>
          <w:rFonts w:hint="default" w:ascii="Times New Roman" w:hAnsi="Times New Roman" w:cs="Times New Roman"/>
          <w:color w:val="auto"/>
          <w:highlight w:val="none"/>
        </w:rPr>
        <w:t>F1</w:t>
      </w:r>
      <w:r>
        <w:rPr>
          <w:rFonts w:hint="default" w:ascii="Times New Roman" w:hAnsi="Times New Roman" w:cs="Times New Roman"/>
          <w:color w:val="auto"/>
          <w:highlight w:val="none"/>
          <w:lang w:val="en-US" w:eastAsia="zh-CN"/>
        </w:rPr>
        <w:t>41b</w:t>
      </w:r>
      <w:r>
        <w:rPr>
          <w:rFonts w:hint="default" w:ascii="Times New Roman" w:hAnsi="Times New Roman" w:cs="Times New Roman"/>
          <w:color w:val="auto"/>
          <w:highlight w:val="none"/>
        </w:rPr>
        <w:t>装置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为本次拆除对象</w:t>
      </w:r>
      <w:r>
        <w:rPr>
          <w:rFonts w:hint="default" w:ascii="Times New Roman" w:hAnsi="Times New Roman" w:cs="Times New Roman"/>
          <w:color w:val="auto"/>
          <w:highlight w:val="none"/>
          <w:lang w:eastAsia="zh-CN"/>
        </w:rPr>
        <w:t>。</w:t>
      </w:r>
    </w:p>
    <w:p w14:paraId="6C416C7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为积极履行ODS物质管控义务，综合生产成本考虑，公司终止HCFC-141b的生产</w:t>
      </w:r>
      <w:r>
        <w:rPr>
          <w:rFonts w:hint="default" w:ascii="Times New Roman" w:hAnsi="Times New Roman" w:cs="Times New Roman"/>
          <w:color w:val="auto"/>
          <w:highlight w:val="none"/>
        </w:rPr>
        <w:t>。</w:t>
      </w:r>
    </w:p>
    <w:p w14:paraId="64127A0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通过地块资料收集、现场踏勘和人员访谈，并结合Google Earth卫星影像图（如图</w:t>
      </w:r>
      <w:r>
        <w:rPr>
          <w:rFonts w:hint="default" w:ascii="Times New Roman" w:hAnsi="Times New Roman" w:cs="Times New Roman"/>
          <w:color w:val="auto"/>
          <w:highlight w:val="none"/>
          <w:lang w:val="en-US" w:eastAsia="zh-CN"/>
        </w:rPr>
        <w:t>1.1-1</w:t>
      </w:r>
      <w:r>
        <w:rPr>
          <w:rFonts w:hint="default" w:ascii="Times New Roman" w:hAnsi="Times New Roman" w:cs="Times New Roman"/>
          <w:color w:val="auto"/>
          <w:highlight w:val="none"/>
        </w:rPr>
        <w:t>），综合整理分析得知</w:t>
      </w:r>
      <w:r>
        <w:rPr>
          <w:rFonts w:hint="eastAsia" w:cs="Times New Roman"/>
          <w:color w:val="auto"/>
          <w:highlight w:val="none"/>
          <w:lang w:eastAsia="zh-CN"/>
        </w:rPr>
        <w:t>常熟三爱富氟化工有限责任公司</w:t>
      </w:r>
      <w:r>
        <w:rPr>
          <w:rFonts w:hint="default" w:ascii="Times New Roman" w:hAnsi="Times New Roman" w:cs="Times New Roman"/>
          <w:color w:val="auto"/>
          <w:highlight w:val="none"/>
        </w:rPr>
        <w:t>地块使用历史及变迁。</w:t>
      </w:r>
    </w:p>
    <w:tbl>
      <w:tblPr>
        <w:tblStyle w:val="30"/>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gridCol w:w="1047"/>
      </w:tblGrid>
      <w:tr w14:paraId="236C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7" w:type="dxa"/>
            <w:noWrap w:val="0"/>
            <w:vAlign w:val="center"/>
          </w:tcPr>
          <w:p w14:paraId="0BFD472D">
            <w:pPr>
              <w:pStyle w:val="45"/>
              <w:bidi w:val="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8480" behindDoc="0" locked="0" layoutInCell="1" allowOverlap="1">
                  <wp:simplePos x="0" y="0"/>
                  <wp:positionH relativeFrom="column">
                    <wp:posOffset>44450</wp:posOffset>
                  </wp:positionH>
                  <wp:positionV relativeFrom="paragraph">
                    <wp:posOffset>2089785</wp:posOffset>
                  </wp:positionV>
                  <wp:extent cx="1308100" cy="541655"/>
                  <wp:effectExtent l="0" t="0" r="6350" b="10795"/>
                  <wp:wrapNone/>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bookmarkStart w:id="310" w:name="_GoBack"/>
            <w:r>
              <w:rPr>
                <w:rFonts w:hint="default" w:ascii="Times New Roman" w:hAnsi="Times New Roman" w:cs="Times New Roman"/>
                <w:color w:val="auto"/>
                <w:highlight w:val="none"/>
              </w:rPr>
              <w:drawing>
                <wp:inline distT="0" distB="0" distL="114300" distR="114300">
                  <wp:extent cx="4436110" cy="2651125"/>
                  <wp:effectExtent l="0" t="0" r="2540" b="1587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0"/>
                          <a:stretch>
                            <a:fillRect/>
                          </a:stretch>
                        </pic:blipFill>
                        <pic:spPr>
                          <a:xfrm>
                            <a:off x="0" y="0"/>
                            <a:ext cx="4436110" cy="2651125"/>
                          </a:xfrm>
                          <a:prstGeom prst="rect">
                            <a:avLst/>
                          </a:prstGeom>
                          <a:noFill/>
                          <a:ln>
                            <a:noFill/>
                          </a:ln>
                        </pic:spPr>
                      </pic:pic>
                    </a:graphicData>
                  </a:graphic>
                </wp:inline>
              </w:drawing>
            </w:r>
            <w:bookmarkEnd w:id="310"/>
          </w:p>
        </w:tc>
        <w:tc>
          <w:tcPr>
            <w:tcW w:w="1047" w:type="dxa"/>
            <w:noWrap w:val="0"/>
            <w:vAlign w:val="center"/>
          </w:tcPr>
          <w:p w14:paraId="00598D44">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201</w:t>
            </w:r>
            <w:r>
              <w:rPr>
                <w:rFonts w:hint="default" w:ascii="Times New Roman" w:hAnsi="Times New Roman" w:cs="Times New Roman"/>
                <w:color w:val="auto"/>
                <w:highlight w:val="none"/>
                <w:lang w:val="en-US" w:eastAsia="zh-CN"/>
              </w:rPr>
              <w:t>0.11</w:t>
            </w:r>
          </w:p>
          <w:p w14:paraId="37FE9A16">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截止至2010年，企拥有有AHF、F134a、F113a、F113生产装置。</w:t>
            </w:r>
          </w:p>
        </w:tc>
      </w:tr>
      <w:tr w14:paraId="186C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7" w:type="dxa"/>
            <w:noWrap w:val="0"/>
            <w:vAlign w:val="center"/>
          </w:tcPr>
          <w:p w14:paraId="41FCDFAE">
            <w:pPr>
              <w:pStyle w:val="45"/>
              <w:bidi w:val="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7456" behindDoc="0" locked="0" layoutInCell="1" allowOverlap="1">
                  <wp:simplePos x="0" y="0"/>
                  <wp:positionH relativeFrom="column">
                    <wp:posOffset>44450</wp:posOffset>
                  </wp:positionH>
                  <wp:positionV relativeFrom="paragraph">
                    <wp:posOffset>2085975</wp:posOffset>
                  </wp:positionV>
                  <wp:extent cx="1308100" cy="541655"/>
                  <wp:effectExtent l="0" t="0" r="6350" b="10795"/>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4436110" cy="2651125"/>
                  <wp:effectExtent l="0" t="0" r="2540" b="1587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1"/>
                          <a:stretch>
                            <a:fillRect/>
                          </a:stretch>
                        </pic:blipFill>
                        <pic:spPr>
                          <a:xfrm>
                            <a:off x="0" y="0"/>
                            <a:ext cx="4436110" cy="2651125"/>
                          </a:xfrm>
                          <a:prstGeom prst="rect">
                            <a:avLst/>
                          </a:prstGeom>
                          <a:noFill/>
                          <a:ln>
                            <a:noFill/>
                          </a:ln>
                        </pic:spPr>
                      </pic:pic>
                    </a:graphicData>
                  </a:graphic>
                </wp:inline>
              </w:drawing>
            </w:r>
          </w:p>
        </w:tc>
        <w:tc>
          <w:tcPr>
            <w:tcW w:w="1047" w:type="dxa"/>
            <w:noWrap w:val="0"/>
            <w:vAlign w:val="center"/>
          </w:tcPr>
          <w:p w14:paraId="52958420">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201</w:t>
            </w:r>
            <w:r>
              <w:rPr>
                <w:rFonts w:hint="default" w:ascii="Times New Roman" w:hAnsi="Times New Roman" w:cs="Times New Roman"/>
                <w:color w:val="auto"/>
                <w:highlight w:val="none"/>
                <w:lang w:val="en-US" w:eastAsia="zh-CN"/>
              </w:rPr>
              <w:t>3.11</w:t>
            </w:r>
          </w:p>
          <w:p w14:paraId="4FE90DBC">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截止至2013年，企业拥有AHF、F134a、F113a、F113、CTFE、F141b生产装置。</w:t>
            </w:r>
          </w:p>
        </w:tc>
      </w:tr>
      <w:tr w14:paraId="5AA9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7" w:type="dxa"/>
            <w:noWrap w:val="0"/>
            <w:vAlign w:val="center"/>
          </w:tcPr>
          <w:p w14:paraId="58E8C187">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6432" behindDoc="0" locked="0" layoutInCell="1" allowOverlap="1">
                  <wp:simplePos x="0" y="0"/>
                  <wp:positionH relativeFrom="column">
                    <wp:posOffset>43180</wp:posOffset>
                  </wp:positionH>
                  <wp:positionV relativeFrom="paragraph">
                    <wp:posOffset>2077720</wp:posOffset>
                  </wp:positionV>
                  <wp:extent cx="1308100" cy="541655"/>
                  <wp:effectExtent l="0" t="0" r="6350" b="10795"/>
                  <wp:wrapNone/>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4436110" cy="2651125"/>
                  <wp:effectExtent l="0" t="0" r="2540" b="1587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2"/>
                          <a:stretch>
                            <a:fillRect/>
                          </a:stretch>
                        </pic:blipFill>
                        <pic:spPr>
                          <a:xfrm>
                            <a:off x="0" y="0"/>
                            <a:ext cx="4436110" cy="2651125"/>
                          </a:xfrm>
                          <a:prstGeom prst="rect">
                            <a:avLst/>
                          </a:prstGeom>
                          <a:noFill/>
                          <a:ln>
                            <a:noFill/>
                          </a:ln>
                        </pic:spPr>
                      </pic:pic>
                    </a:graphicData>
                  </a:graphic>
                </wp:inline>
              </w:drawing>
            </w:r>
          </w:p>
        </w:tc>
        <w:tc>
          <w:tcPr>
            <w:tcW w:w="1047" w:type="dxa"/>
            <w:noWrap w:val="0"/>
            <w:vAlign w:val="center"/>
          </w:tcPr>
          <w:p w14:paraId="3AE3D770">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2015.07</w:t>
            </w:r>
          </w:p>
          <w:p w14:paraId="2DD90391">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同2013年相比无明显区别。</w:t>
            </w:r>
          </w:p>
        </w:tc>
      </w:tr>
      <w:tr w14:paraId="06B3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7" w:type="dxa"/>
            <w:noWrap w:val="0"/>
            <w:vAlign w:val="center"/>
          </w:tcPr>
          <w:p w14:paraId="719206C7">
            <w:pPr>
              <w:pStyle w:val="45"/>
              <w:bidi w:val="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5408" behindDoc="0" locked="0" layoutInCell="1" allowOverlap="1">
                  <wp:simplePos x="0" y="0"/>
                  <wp:positionH relativeFrom="column">
                    <wp:posOffset>49530</wp:posOffset>
                  </wp:positionH>
                  <wp:positionV relativeFrom="paragraph">
                    <wp:posOffset>2061845</wp:posOffset>
                  </wp:positionV>
                  <wp:extent cx="1308100" cy="541655"/>
                  <wp:effectExtent l="0" t="0" r="6350" b="10795"/>
                  <wp:wrapNone/>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4436110" cy="2651125"/>
                  <wp:effectExtent l="0" t="0" r="2540" b="1587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3"/>
                          <a:stretch>
                            <a:fillRect/>
                          </a:stretch>
                        </pic:blipFill>
                        <pic:spPr>
                          <a:xfrm>
                            <a:off x="0" y="0"/>
                            <a:ext cx="4436110" cy="2651125"/>
                          </a:xfrm>
                          <a:prstGeom prst="rect">
                            <a:avLst/>
                          </a:prstGeom>
                          <a:noFill/>
                          <a:ln>
                            <a:noFill/>
                          </a:ln>
                        </pic:spPr>
                      </pic:pic>
                    </a:graphicData>
                  </a:graphic>
                </wp:inline>
              </w:drawing>
            </w:r>
          </w:p>
        </w:tc>
        <w:tc>
          <w:tcPr>
            <w:tcW w:w="1047" w:type="dxa"/>
            <w:noWrap w:val="0"/>
            <w:vAlign w:val="center"/>
          </w:tcPr>
          <w:p w14:paraId="02219292">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2017.0</w:t>
            </w:r>
            <w:r>
              <w:rPr>
                <w:rFonts w:hint="default" w:ascii="Times New Roman" w:hAnsi="Times New Roman" w:cs="Times New Roman"/>
                <w:color w:val="auto"/>
                <w:highlight w:val="none"/>
                <w:lang w:val="en-US" w:eastAsia="zh-CN"/>
              </w:rPr>
              <w:t>6</w:t>
            </w:r>
          </w:p>
          <w:p w14:paraId="7A18796B">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东侧新建HFP生产单元。</w:t>
            </w:r>
          </w:p>
        </w:tc>
      </w:tr>
      <w:tr w14:paraId="7D1D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7" w:type="dxa"/>
            <w:noWrap w:val="0"/>
            <w:vAlign w:val="center"/>
          </w:tcPr>
          <w:p w14:paraId="05C0E75F">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4384" behindDoc="0" locked="0" layoutInCell="1" allowOverlap="1">
                  <wp:simplePos x="0" y="0"/>
                  <wp:positionH relativeFrom="column">
                    <wp:posOffset>49530</wp:posOffset>
                  </wp:positionH>
                  <wp:positionV relativeFrom="paragraph">
                    <wp:posOffset>2073910</wp:posOffset>
                  </wp:positionV>
                  <wp:extent cx="1308100" cy="541655"/>
                  <wp:effectExtent l="0" t="0" r="6350" b="10795"/>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4436110" cy="2651125"/>
                  <wp:effectExtent l="0" t="0" r="2540" b="1587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4"/>
                          <a:stretch>
                            <a:fillRect/>
                          </a:stretch>
                        </pic:blipFill>
                        <pic:spPr>
                          <a:xfrm>
                            <a:off x="0" y="0"/>
                            <a:ext cx="4436110" cy="2651125"/>
                          </a:xfrm>
                          <a:prstGeom prst="rect">
                            <a:avLst/>
                          </a:prstGeom>
                          <a:noFill/>
                          <a:ln>
                            <a:noFill/>
                          </a:ln>
                        </pic:spPr>
                      </pic:pic>
                    </a:graphicData>
                  </a:graphic>
                </wp:inline>
              </w:drawing>
            </w:r>
          </w:p>
        </w:tc>
        <w:tc>
          <w:tcPr>
            <w:tcW w:w="1047" w:type="dxa"/>
            <w:noWrap w:val="0"/>
            <w:vAlign w:val="center"/>
          </w:tcPr>
          <w:p w14:paraId="46C0CA10">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2019.07</w:t>
            </w:r>
          </w:p>
          <w:p w14:paraId="249CDB2E">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截止至2019年企业拥有AHF、F134a、F113a、F113、CTFE、F141b、HFP（未生产）生产装置。</w:t>
            </w:r>
          </w:p>
        </w:tc>
      </w:tr>
      <w:tr w14:paraId="05CA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7" w:type="dxa"/>
            <w:noWrap w:val="0"/>
            <w:vAlign w:val="center"/>
          </w:tcPr>
          <w:p w14:paraId="2B772430">
            <w:pPr>
              <w:pStyle w:val="45"/>
              <w:bidi w:val="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3360" behindDoc="0" locked="0" layoutInCell="1" allowOverlap="1">
                  <wp:simplePos x="0" y="0"/>
                  <wp:positionH relativeFrom="column">
                    <wp:posOffset>40005</wp:posOffset>
                  </wp:positionH>
                  <wp:positionV relativeFrom="paragraph">
                    <wp:posOffset>2081530</wp:posOffset>
                  </wp:positionV>
                  <wp:extent cx="1308100" cy="541655"/>
                  <wp:effectExtent l="0" t="0" r="6350" b="10795"/>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r>
              <w:rPr>
                <w:rFonts w:hint="default" w:ascii="Times New Roman" w:hAnsi="Times New Roman" w:cs="Times New Roman"/>
                <w:color w:val="auto"/>
                <w:highlight w:val="none"/>
              </w:rPr>
              <w:drawing>
                <wp:anchor distT="0" distB="0" distL="114300" distR="114300" simplePos="0" relativeHeight="251662336" behindDoc="0" locked="0" layoutInCell="1" allowOverlap="1">
                  <wp:simplePos x="0" y="0"/>
                  <wp:positionH relativeFrom="column">
                    <wp:posOffset>55880</wp:posOffset>
                  </wp:positionH>
                  <wp:positionV relativeFrom="paragraph">
                    <wp:posOffset>2057400</wp:posOffset>
                  </wp:positionV>
                  <wp:extent cx="1308100" cy="541655"/>
                  <wp:effectExtent l="0" t="0" r="6350" b="1079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4436110" cy="2651125"/>
                  <wp:effectExtent l="0" t="0" r="2540" b="1587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5"/>
                          <a:stretch>
                            <a:fillRect/>
                          </a:stretch>
                        </pic:blipFill>
                        <pic:spPr>
                          <a:xfrm>
                            <a:off x="0" y="0"/>
                            <a:ext cx="4436110" cy="2651125"/>
                          </a:xfrm>
                          <a:prstGeom prst="rect">
                            <a:avLst/>
                          </a:prstGeom>
                          <a:noFill/>
                          <a:ln>
                            <a:noFill/>
                          </a:ln>
                        </pic:spPr>
                      </pic:pic>
                    </a:graphicData>
                  </a:graphic>
                </wp:inline>
              </w:drawing>
            </w:r>
          </w:p>
        </w:tc>
        <w:tc>
          <w:tcPr>
            <w:tcW w:w="1047" w:type="dxa"/>
            <w:noWrap w:val="0"/>
            <w:vAlign w:val="center"/>
          </w:tcPr>
          <w:p w14:paraId="051BB968">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r>
              <w:rPr>
                <w:rFonts w:hint="default" w:ascii="Times New Roman" w:hAnsi="Times New Roman" w:cs="Times New Roman"/>
                <w:color w:val="auto"/>
                <w:highlight w:val="none"/>
                <w:lang w:val="en-US" w:eastAsia="zh-CN"/>
              </w:rPr>
              <w:t>21.03</w:t>
            </w:r>
          </w:p>
          <w:p w14:paraId="04558531">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截止至2021年企业拥有AHF、F113a、F113、CTFE、F141b、HFP、VDF生产装置。</w:t>
            </w:r>
          </w:p>
        </w:tc>
      </w:tr>
      <w:tr w14:paraId="3D40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7" w:type="dxa"/>
            <w:noWrap w:val="0"/>
            <w:vAlign w:val="center"/>
          </w:tcPr>
          <w:p w14:paraId="1B1BBD26">
            <w:pPr>
              <w:pStyle w:val="4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drawing>
                <wp:anchor distT="0" distB="0" distL="114300" distR="114300" simplePos="0" relativeHeight="251660288" behindDoc="0" locked="0" layoutInCell="1" allowOverlap="1">
                  <wp:simplePos x="0" y="0"/>
                  <wp:positionH relativeFrom="column">
                    <wp:posOffset>46355</wp:posOffset>
                  </wp:positionH>
                  <wp:positionV relativeFrom="paragraph">
                    <wp:posOffset>2065020</wp:posOffset>
                  </wp:positionV>
                  <wp:extent cx="1308100" cy="541655"/>
                  <wp:effectExtent l="0" t="0" r="6350" b="10795"/>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4436110" cy="2651125"/>
                  <wp:effectExtent l="0" t="0" r="2540" b="158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6"/>
                          <a:stretch>
                            <a:fillRect/>
                          </a:stretch>
                        </pic:blipFill>
                        <pic:spPr>
                          <a:xfrm>
                            <a:off x="0" y="0"/>
                            <a:ext cx="4436110" cy="2651125"/>
                          </a:xfrm>
                          <a:prstGeom prst="rect">
                            <a:avLst/>
                          </a:prstGeom>
                          <a:noFill/>
                          <a:ln>
                            <a:noFill/>
                          </a:ln>
                        </pic:spPr>
                      </pic:pic>
                    </a:graphicData>
                  </a:graphic>
                </wp:inline>
              </w:drawing>
            </w:r>
          </w:p>
        </w:tc>
        <w:tc>
          <w:tcPr>
            <w:tcW w:w="1047" w:type="dxa"/>
            <w:noWrap w:val="0"/>
            <w:vAlign w:val="center"/>
          </w:tcPr>
          <w:p w14:paraId="51FB86EE">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202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09</w:t>
            </w:r>
          </w:p>
          <w:p w14:paraId="25C790E7">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同2021年相比无明显区别。</w:t>
            </w:r>
          </w:p>
        </w:tc>
      </w:tr>
      <w:tr w14:paraId="6748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7" w:type="dxa"/>
            <w:noWrap w:val="0"/>
            <w:vAlign w:val="center"/>
          </w:tcPr>
          <w:p w14:paraId="6F17227B">
            <w:pPr>
              <w:pStyle w:val="45"/>
              <w:bidi w:val="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59264" behindDoc="0" locked="0" layoutInCell="1" allowOverlap="1">
                  <wp:simplePos x="0" y="0"/>
                  <wp:positionH relativeFrom="column">
                    <wp:posOffset>69850</wp:posOffset>
                  </wp:positionH>
                  <wp:positionV relativeFrom="paragraph">
                    <wp:posOffset>2068830</wp:posOffset>
                  </wp:positionV>
                  <wp:extent cx="1308100" cy="541655"/>
                  <wp:effectExtent l="0" t="0" r="6350" b="1079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1308100" cy="541655"/>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4436110" cy="2651125"/>
                  <wp:effectExtent l="0" t="0" r="2540" b="158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7"/>
                          <a:stretch>
                            <a:fillRect/>
                          </a:stretch>
                        </pic:blipFill>
                        <pic:spPr>
                          <a:xfrm>
                            <a:off x="0" y="0"/>
                            <a:ext cx="4436110" cy="2651125"/>
                          </a:xfrm>
                          <a:prstGeom prst="rect">
                            <a:avLst/>
                          </a:prstGeom>
                          <a:noFill/>
                          <a:ln>
                            <a:noFill/>
                          </a:ln>
                        </pic:spPr>
                      </pic:pic>
                    </a:graphicData>
                  </a:graphic>
                </wp:inline>
              </w:drawing>
            </w:r>
          </w:p>
        </w:tc>
        <w:tc>
          <w:tcPr>
            <w:tcW w:w="1047" w:type="dxa"/>
            <w:noWrap w:val="0"/>
            <w:vAlign w:val="center"/>
          </w:tcPr>
          <w:p w14:paraId="6441C310">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202</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05</w:t>
            </w:r>
          </w:p>
          <w:p w14:paraId="6190D28D">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同2023年相比无明显区别。</w:t>
            </w:r>
          </w:p>
        </w:tc>
      </w:tr>
    </w:tbl>
    <w:p w14:paraId="46097FF9">
      <w:pPr>
        <w:pStyle w:val="4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图 1</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-1 企业历史影像图（20</w:t>
      </w: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-202</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年）</w:t>
      </w:r>
    </w:p>
    <w:p w14:paraId="299B8C33">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1.1.1.2 工程建设内容</w:t>
      </w:r>
    </w:p>
    <w:p w14:paraId="5A24052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厂区内</w:t>
      </w:r>
      <w:r>
        <w:rPr>
          <w:rFonts w:hint="default" w:ascii="Times New Roman" w:hAnsi="Times New Roman" w:cs="Times New Roman"/>
          <w:color w:val="auto"/>
          <w:highlight w:val="none"/>
          <w:lang w:val="en-US" w:eastAsia="zh-CN"/>
        </w:rPr>
        <w:t>现A</w:t>
      </w:r>
      <w:r>
        <w:rPr>
          <w:rFonts w:hint="default" w:ascii="Times New Roman" w:hAnsi="Times New Roman" w:cs="Times New Roman"/>
          <w:color w:val="auto"/>
          <w:highlight w:val="none"/>
        </w:rPr>
        <w:t>HF生产装置、F113a生产装置、CTFE生产装置</w:t>
      </w:r>
      <w:r>
        <w:rPr>
          <w:rFonts w:hint="default" w:ascii="Times New Roman" w:hAnsi="Times New Roman" w:cs="Times New Roman"/>
          <w:color w:val="auto"/>
          <w:highlight w:val="none"/>
          <w:lang w:eastAsia="zh-CN"/>
        </w:rPr>
        <w:t>、</w:t>
      </w:r>
      <w:bookmarkStart w:id="19" w:name="OLE_LINK15"/>
      <w:r>
        <w:rPr>
          <w:rFonts w:hint="default" w:ascii="Times New Roman" w:hAnsi="Times New Roman" w:cs="Times New Roman"/>
          <w:color w:val="auto"/>
          <w:highlight w:val="none"/>
          <w:lang w:val="en-US" w:eastAsia="zh-CN"/>
        </w:rPr>
        <w:t>VDF</w:t>
      </w:r>
      <w:bookmarkEnd w:id="19"/>
      <w:r>
        <w:rPr>
          <w:rFonts w:hint="default" w:ascii="Times New Roman" w:hAnsi="Times New Roman" w:cs="Times New Roman"/>
          <w:color w:val="auto"/>
          <w:highlight w:val="none"/>
        </w:rPr>
        <w:t>生产装置</w:t>
      </w:r>
      <w:r>
        <w:rPr>
          <w:rFonts w:hint="default" w:ascii="Times New Roman" w:hAnsi="Times New Roman" w:cs="Times New Roman"/>
          <w:color w:val="auto"/>
          <w:highlight w:val="none"/>
          <w:lang w:eastAsia="zh-CN"/>
        </w:rPr>
        <w:t>、</w:t>
      </w:r>
      <w:bookmarkStart w:id="20" w:name="OLE_LINK16"/>
      <w:r>
        <w:rPr>
          <w:rFonts w:hint="default" w:ascii="Times New Roman" w:hAnsi="Times New Roman" w:cs="Times New Roman"/>
          <w:color w:val="auto"/>
          <w:highlight w:val="none"/>
          <w:lang w:val="en-US" w:eastAsia="zh-CN"/>
        </w:rPr>
        <w:t>HCFC-141b</w:t>
      </w:r>
      <w:bookmarkEnd w:id="20"/>
      <w:r>
        <w:rPr>
          <w:rFonts w:hint="default" w:ascii="Times New Roman" w:hAnsi="Times New Roman" w:cs="Times New Roman"/>
          <w:color w:val="auto"/>
          <w:highlight w:val="none"/>
          <w:lang w:val="en-US" w:eastAsia="zh-CN"/>
        </w:rPr>
        <w:t>生产装置</w:t>
      </w:r>
      <w:bookmarkStart w:id="21" w:name="OLE_LINK17"/>
      <w:r>
        <w:rPr>
          <w:rFonts w:hint="default" w:ascii="Times New Roman" w:hAnsi="Times New Roman" w:cs="Times New Roman"/>
          <w:color w:val="auto"/>
          <w:highlight w:val="none"/>
          <w:lang w:val="en-US" w:eastAsia="zh-CN"/>
        </w:rPr>
        <w:t>、HFP生产装置</w:t>
      </w:r>
      <w:bookmarkEnd w:id="21"/>
      <w:r>
        <w:rPr>
          <w:rFonts w:hint="default" w:ascii="Times New Roman" w:hAnsi="Times New Roman" w:cs="Times New Roman"/>
          <w:color w:val="auto"/>
          <w:highlight w:val="none"/>
        </w:rPr>
        <w:t>等项目。</w:t>
      </w:r>
    </w:p>
    <w:p w14:paraId="2E7B0E87">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厂区现有项目主体工程和产品方案见</w:t>
      </w:r>
      <w:r>
        <w:rPr>
          <w:rFonts w:hint="default" w:ascii="Times New Roman" w:hAnsi="Times New Roman" w:cs="Times New Roman"/>
          <w:color w:val="auto"/>
          <w:highlight w:val="none"/>
          <w:lang w:val="en-US" w:eastAsia="zh-CN"/>
        </w:rPr>
        <w:t>下</w:t>
      </w: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eastAsia="zh-CN"/>
        </w:rPr>
        <w:t>。</w:t>
      </w:r>
    </w:p>
    <w:p w14:paraId="2A01D5ED">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1.1-1</w:t>
      </w:r>
      <w:r>
        <w:rPr>
          <w:rFonts w:hint="default" w:ascii="Times New Roman" w:hAnsi="Times New Roman" w:cs="Times New Roman"/>
          <w:color w:val="auto"/>
          <w:highlight w:val="none"/>
        </w:rPr>
        <w:t xml:space="preserve"> 厂区现有项目现有主体工程和产品方案表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4286"/>
        <w:gridCol w:w="1825"/>
        <w:gridCol w:w="1634"/>
      </w:tblGrid>
      <w:tr w14:paraId="4A19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54" w:type="pct"/>
          </w:tcPr>
          <w:p w14:paraId="753AD0E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2515" w:type="pct"/>
          </w:tcPr>
          <w:p w14:paraId="0989D81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产品名称</w:t>
            </w:r>
          </w:p>
        </w:tc>
        <w:tc>
          <w:tcPr>
            <w:tcW w:w="1071" w:type="pct"/>
          </w:tcPr>
          <w:p w14:paraId="3311181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实际生产能力</w:t>
            </w:r>
          </w:p>
        </w:tc>
        <w:tc>
          <w:tcPr>
            <w:tcW w:w="959" w:type="pct"/>
          </w:tcPr>
          <w:p w14:paraId="549A2F3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年运行时数</w:t>
            </w:r>
          </w:p>
        </w:tc>
      </w:tr>
      <w:tr w14:paraId="1EB4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0E8F442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2515" w:type="pct"/>
          </w:tcPr>
          <w:p w14:paraId="6C35BD4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无水氟化氢（简称AHF）</w:t>
            </w:r>
          </w:p>
        </w:tc>
        <w:tc>
          <w:tcPr>
            <w:tcW w:w="1071" w:type="pct"/>
          </w:tcPr>
          <w:p w14:paraId="3CEAA2D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30000</w:t>
            </w:r>
            <w:r>
              <w:rPr>
                <w:rFonts w:hint="default" w:ascii="Times New Roman" w:hAnsi="Times New Roman" w:cs="Times New Roman"/>
                <w:color w:val="auto"/>
                <w:highlight w:val="none"/>
              </w:rPr>
              <w:t>t/a</w:t>
            </w:r>
          </w:p>
        </w:tc>
        <w:tc>
          <w:tcPr>
            <w:tcW w:w="959" w:type="pct"/>
          </w:tcPr>
          <w:p w14:paraId="3241F14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7200h</w:t>
            </w:r>
          </w:p>
        </w:tc>
      </w:tr>
      <w:tr w14:paraId="1B6B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639BE034">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2515" w:type="pct"/>
          </w:tcPr>
          <w:p w14:paraId="57702B0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1-三氟三氯乙烷（简称F113a）</w:t>
            </w:r>
          </w:p>
        </w:tc>
        <w:tc>
          <w:tcPr>
            <w:tcW w:w="1071" w:type="pct"/>
          </w:tcPr>
          <w:p w14:paraId="4A1F9C9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24000</w:t>
            </w:r>
            <w:r>
              <w:rPr>
                <w:rFonts w:hint="default" w:ascii="Times New Roman" w:hAnsi="Times New Roman" w:cs="Times New Roman"/>
                <w:color w:val="auto"/>
                <w:highlight w:val="none"/>
              </w:rPr>
              <w:t>t/a</w:t>
            </w:r>
          </w:p>
        </w:tc>
        <w:tc>
          <w:tcPr>
            <w:tcW w:w="959" w:type="pct"/>
          </w:tcPr>
          <w:p w14:paraId="774DECF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7200h</w:t>
            </w:r>
          </w:p>
        </w:tc>
      </w:tr>
      <w:tr w14:paraId="7563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611FF5D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2515" w:type="pct"/>
          </w:tcPr>
          <w:p w14:paraId="69EB56C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三氟氯乙烯（简称CTFE）</w:t>
            </w:r>
          </w:p>
        </w:tc>
        <w:tc>
          <w:tcPr>
            <w:tcW w:w="1071" w:type="pct"/>
          </w:tcPr>
          <w:p w14:paraId="3763B6D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000t/a</w:t>
            </w:r>
          </w:p>
        </w:tc>
        <w:tc>
          <w:tcPr>
            <w:tcW w:w="959" w:type="pct"/>
          </w:tcPr>
          <w:p w14:paraId="133174B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7200h</w:t>
            </w:r>
          </w:p>
        </w:tc>
      </w:tr>
      <w:tr w14:paraId="2A38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6B54F20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2515" w:type="pct"/>
          </w:tcPr>
          <w:p w14:paraId="60BD227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偏二氟乙烯</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VDF</w:t>
            </w:r>
            <w:r>
              <w:rPr>
                <w:rFonts w:hint="default" w:ascii="Times New Roman" w:hAnsi="Times New Roman" w:cs="Times New Roman"/>
                <w:color w:val="auto"/>
                <w:highlight w:val="none"/>
              </w:rPr>
              <w:t>）</w:t>
            </w:r>
          </w:p>
        </w:tc>
        <w:tc>
          <w:tcPr>
            <w:tcW w:w="1071" w:type="pct"/>
          </w:tcPr>
          <w:p w14:paraId="0F847292">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6000</w:t>
            </w:r>
            <w:r>
              <w:rPr>
                <w:rFonts w:hint="default" w:ascii="Times New Roman" w:hAnsi="Times New Roman" w:cs="Times New Roman"/>
                <w:color w:val="auto"/>
                <w:highlight w:val="none"/>
              </w:rPr>
              <w:t>t/a</w:t>
            </w:r>
          </w:p>
        </w:tc>
        <w:tc>
          <w:tcPr>
            <w:tcW w:w="959" w:type="pct"/>
          </w:tcPr>
          <w:p w14:paraId="0234DAD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7200h</w:t>
            </w:r>
          </w:p>
        </w:tc>
      </w:tr>
      <w:tr w14:paraId="2E03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61C67A2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2515" w:type="pct"/>
          </w:tcPr>
          <w:p w14:paraId="184A83B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一氟二氯乙烷（F141b）</w:t>
            </w:r>
          </w:p>
        </w:tc>
        <w:tc>
          <w:tcPr>
            <w:tcW w:w="1071" w:type="pct"/>
          </w:tcPr>
          <w:p w14:paraId="2EF2004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30000</w:t>
            </w:r>
            <w:r>
              <w:rPr>
                <w:rFonts w:hint="default" w:ascii="Times New Roman" w:hAnsi="Times New Roman" w:cs="Times New Roman"/>
                <w:color w:val="auto"/>
                <w:highlight w:val="none"/>
              </w:rPr>
              <w:t>t/a</w:t>
            </w:r>
          </w:p>
        </w:tc>
        <w:tc>
          <w:tcPr>
            <w:tcW w:w="959" w:type="pct"/>
          </w:tcPr>
          <w:p w14:paraId="687D7C2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7200h</w:t>
            </w:r>
          </w:p>
        </w:tc>
      </w:tr>
      <w:tr w14:paraId="1DCF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6EFD87DE">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2515" w:type="pct"/>
          </w:tcPr>
          <w:p w14:paraId="5793D25C">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六氟丙烯</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HFP</w:t>
            </w:r>
            <w:r>
              <w:rPr>
                <w:rFonts w:hint="default" w:ascii="Times New Roman" w:hAnsi="Times New Roman" w:cs="Times New Roman"/>
                <w:color w:val="auto"/>
                <w:highlight w:val="none"/>
              </w:rPr>
              <w:t>）</w:t>
            </w:r>
          </w:p>
        </w:tc>
        <w:tc>
          <w:tcPr>
            <w:tcW w:w="1071" w:type="pct"/>
          </w:tcPr>
          <w:p w14:paraId="0CD8B47E">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6000</w:t>
            </w:r>
            <w:r>
              <w:rPr>
                <w:rFonts w:hint="default" w:ascii="Times New Roman" w:hAnsi="Times New Roman" w:cs="Times New Roman"/>
                <w:color w:val="auto"/>
                <w:highlight w:val="none"/>
              </w:rPr>
              <w:t>t/a</w:t>
            </w:r>
          </w:p>
        </w:tc>
        <w:tc>
          <w:tcPr>
            <w:tcW w:w="959" w:type="pct"/>
          </w:tcPr>
          <w:p w14:paraId="41AEC51F">
            <w:pPr>
              <w:pStyle w:val="45"/>
              <w:bidi w:val="0"/>
              <w:rPr>
                <w:rFonts w:hint="default" w:ascii="Times New Roman" w:hAnsi="Times New Roman" w:cs="Times New Roman"/>
                <w:color w:val="auto"/>
                <w:highlight w:val="none"/>
              </w:rPr>
            </w:pPr>
            <w:bookmarkStart w:id="22" w:name="OLE_LINK21"/>
            <w:r>
              <w:rPr>
                <w:rFonts w:hint="default" w:ascii="Times New Roman" w:hAnsi="Times New Roman" w:cs="Times New Roman"/>
                <w:color w:val="auto"/>
                <w:highlight w:val="none"/>
              </w:rPr>
              <w:t>7200h</w:t>
            </w:r>
            <w:bookmarkEnd w:id="22"/>
          </w:p>
        </w:tc>
      </w:tr>
    </w:tbl>
    <w:p w14:paraId="29925060">
      <w:pPr>
        <w:pStyle w:val="46"/>
        <w:bidi w:val="0"/>
        <w:rPr>
          <w:rFonts w:hint="default" w:ascii="Times New Roman" w:hAnsi="Times New Roman" w:cs="Times New Roman"/>
          <w:color w:val="auto"/>
          <w:highlight w:val="none"/>
          <w:lang w:val="en-US" w:eastAsia="en-US"/>
        </w:rPr>
      </w:pPr>
      <w:r>
        <w:rPr>
          <w:rFonts w:hint="default" w:ascii="Times New Roman" w:hAnsi="Times New Roman" w:cs="Times New Roman"/>
          <w:color w:val="auto"/>
          <w:highlight w:val="none"/>
          <w:lang w:val="en-US" w:eastAsia="en-US"/>
        </w:rPr>
        <w:t>表</w:t>
      </w:r>
      <w:r>
        <w:rPr>
          <w:rFonts w:hint="default" w:ascii="Times New Roman" w:hAnsi="Times New Roman" w:cs="Times New Roman"/>
          <w:color w:val="auto"/>
          <w:highlight w:val="none"/>
          <w:lang w:val="en-US" w:eastAsia="zh-CN"/>
        </w:rPr>
        <w:t xml:space="preserve"> 1.1-2</w:t>
      </w:r>
      <w:r>
        <w:rPr>
          <w:rFonts w:hint="default" w:ascii="Times New Roman" w:hAnsi="Times New Roman" w:cs="Times New Roman"/>
          <w:color w:val="auto"/>
          <w:highlight w:val="none"/>
          <w:lang w:val="en-US" w:eastAsia="en-US"/>
        </w:rPr>
        <w:t xml:space="preserve"> </w:t>
      </w:r>
      <w:bookmarkStart w:id="23" w:name="OLE_LINK18"/>
      <w:r>
        <w:rPr>
          <w:rFonts w:hint="default" w:ascii="Times New Roman" w:hAnsi="Times New Roman" w:cs="Times New Roman"/>
          <w:color w:val="auto"/>
          <w:highlight w:val="none"/>
          <w:lang w:val="en-US" w:eastAsia="en-US"/>
        </w:rPr>
        <w:t>公用及辅助工程</w:t>
      </w:r>
      <w:bookmarkEnd w:id="23"/>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4"/>
        <w:gridCol w:w="810"/>
        <w:gridCol w:w="1364"/>
        <w:gridCol w:w="2513"/>
        <w:gridCol w:w="2812"/>
      </w:tblGrid>
      <w:tr w14:paraId="2CC6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977" w:type="pct"/>
            <w:gridSpan w:val="2"/>
            <w:noWrap w:val="0"/>
            <w:vAlign w:val="center"/>
          </w:tcPr>
          <w:p w14:paraId="0865CE5E">
            <w:pPr>
              <w:pStyle w:val="45"/>
              <w:bidi w:val="0"/>
              <w:rPr>
                <w:color w:val="auto"/>
              </w:rPr>
            </w:pPr>
            <w:r>
              <w:rPr>
                <w:color w:val="auto"/>
              </w:rPr>
              <w:t>工程类别</w:t>
            </w:r>
          </w:p>
        </w:tc>
        <w:tc>
          <w:tcPr>
            <w:tcW w:w="820" w:type="pct"/>
            <w:noWrap w:val="0"/>
            <w:vAlign w:val="center"/>
          </w:tcPr>
          <w:p w14:paraId="42C5041D">
            <w:pPr>
              <w:pStyle w:val="45"/>
              <w:bidi w:val="0"/>
              <w:rPr>
                <w:color w:val="auto"/>
              </w:rPr>
            </w:pPr>
            <w:r>
              <w:rPr>
                <w:color w:val="auto"/>
              </w:rPr>
              <w:t>建设名称</w:t>
            </w:r>
          </w:p>
        </w:tc>
        <w:tc>
          <w:tcPr>
            <w:tcW w:w="1511" w:type="pct"/>
            <w:noWrap w:val="0"/>
            <w:vAlign w:val="center"/>
          </w:tcPr>
          <w:p w14:paraId="609859D7">
            <w:pPr>
              <w:pStyle w:val="45"/>
              <w:bidi w:val="0"/>
              <w:rPr>
                <w:color w:val="auto"/>
              </w:rPr>
            </w:pPr>
            <w:r>
              <w:rPr>
                <w:color w:val="auto"/>
              </w:rPr>
              <w:t>设计能力</w:t>
            </w:r>
          </w:p>
        </w:tc>
        <w:tc>
          <w:tcPr>
            <w:tcW w:w="1691" w:type="pct"/>
            <w:noWrap w:val="0"/>
            <w:vAlign w:val="center"/>
          </w:tcPr>
          <w:p w14:paraId="1054D1B1">
            <w:pPr>
              <w:pStyle w:val="45"/>
              <w:bidi w:val="0"/>
              <w:rPr>
                <w:color w:val="auto"/>
              </w:rPr>
            </w:pPr>
            <w:r>
              <w:rPr>
                <w:color w:val="auto"/>
              </w:rPr>
              <w:t>备注</w:t>
            </w:r>
          </w:p>
        </w:tc>
      </w:tr>
      <w:tr w14:paraId="0C04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restart"/>
            <w:noWrap w:val="0"/>
            <w:vAlign w:val="center"/>
          </w:tcPr>
          <w:p w14:paraId="7E950B94">
            <w:pPr>
              <w:pStyle w:val="45"/>
              <w:bidi w:val="0"/>
              <w:rPr>
                <w:color w:val="auto"/>
              </w:rPr>
            </w:pPr>
            <w:r>
              <w:rPr>
                <w:color w:val="auto"/>
              </w:rPr>
              <w:t>公用工程</w:t>
            </w:r>
          </w:p>
        </w:tc>
        <w:tc>
          <w:tcPr>
            <w:tcW w:w="486" w:type="pct"/>
            <w:vMerge w:val="restart"/>
            <w:noWrap w:val="0"/>
            <w:vAlign w:val="center"/>
          </w:tcPr>
          <w:p w14:paraId="30F658C3">
            <w:pPr>
              <w:pStyle w:val="45"/>
              <w:bidi w:val="0"/>
              <w:rPr>
                <w:color w:val="auto"/>
              </w:rPr>
            </w:pPr>
            <w:r>
              <w:rPr>
                <w:color w:val="auto"/>
              </w:rPr>
              <w:t>给水</w:t>
            </w:r>
          </w:p>
        </w:tc>
        <w:tc>
          <w:tcPr>
            <w:tcW w:w="820" w:type="pct"/>
            <w:noWrap w:val="0"/>
            <w:vAlign w:val="center"/>
          </w:tcPr>
          <w:p w14:paraId="31EB723A">
            <w:pPr>
              <w:pStyle w:val="45"/>
              <w:bidi w:val="0"/>
              <w:rPr>
                <w:color w:val="auto"/>
              </w:rPr>
            </w:pPr>
            <w:r>
              <w:rPr>
                <w:color w:val="auto"/>
              </w:rPr>
              <w:t>工业用水</w:t>
            </w:r>
          </w:p>
          <w:p w14:paraId="59366372">
            <w:pPr>
              <w:pStyle w:val="45"/>
              <w:bidi w:val="0"/>
              <w:rPr>
                <w:color w:val="auto"/>
              </w:rPr>
            </w:pPr>
            <w:r>
              <w:rPr>
                <w:color w:val="auto"/>
              </w:rPr>
              <w:t>给水系统</w:t>
            </w:r>
          </w:p>
        </w:tc>
        <w:tc>
          <w:tcPr>
            <w:tcW w:w="1511" w:type="pct"/>
            <w:noWrap w:val="0"/>
            <w:vAlign w:val="center"/>
          </w:tcPr>
          <w:p w14:paraId="7CCEDF72">
            <w:pPr>
              <w:pStyle w:val="45"/>
              <w:bidi w:val="0"/>
              <w:rPr>
                <w:color w:val="auto"/>
              </w:rPr>
            </w:pPr>
            <w:r>
              <w:rPr>
                <w:color w:val="auto"/>
              </w:rPr>
              <w:t>12000m3/d</w:t>
            </w:r>
          </w:p>
        </w:tc>
        <w:tc>
          <w:tcPr>
            <w:tcW w:w="1691" w:type="pct"/>
            <w:noWrap w:val="0"/>
            <w:vAlign w:val="center"/>
          </w:tcPr>
          <w:p w14:paraId="4D26DC78">
            <w:pPr>
              <w:pStyle w:val="45"/>
              <w:bidi w:val="0"/>
              <w:rPr>
                <w:color w:val="auto"/>
              </w:rPr>
            </w:pPr>
            <w:r>
              <w:rPr>
                <w:color w:val="auto"/>
              </w:rPr>
              <w:t>园区工业用水管网</w:t>
            </w:r>
          </w:p>
        </w:tc>
      </w:tr>
      <w:tr w14:paraId="3921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10D3851B">
            <w:pPr>
              <w:pStyle w:val="45"/>
              <w:bidi w:val="0"/>
              <w:rPr>
                <w:color w:val="auto"/>
              </w:rPr>
            </w:pPr>
          </w:p>
        </w:tc>
        <w:tc>
          <w:tcPr>
            <w:tcW w:w="486" w:type="pct"/>
            <w:vMerge w:val="continue"/>
            <w:noWrap w:val="0"/>
            <w:vAlign w:val="center"/>
          </w:tcPr>
          <w:p w14:paraId="0FFB0050">
            <w:pPr>
              <w:pStyle w:val="45"/>
              <w:bidi w:val="0"/>
              <w:rPr>
                <w:color w:val="auto"/>
              </w:rPr>
            </w:pPr>
          </w:p>
        </w:tc>
        <w:tc>
          <w:tcPr>
            <w:tcW w:w="820" w:type="pct"/>
            <w:noWrap w:val="0"/>
            <w:vAlign w:val="center"/>
          </w:tcPr>
          <w:p w14:paraId="64F7FD8A">
            <w:pPr>
              <w:pStyle w:val="45"/>
              <w:bidi w:val="0"/>
              <w:rPr>
                <w:color w:val="auto"/>
              </w:rPr>
            </w:pPr>
            <w:r>
              <w:rPr>
                <w:color w:val="auto"/>
              </w:rPr>
              <w:t>生活用水</w:t>
            </w:r>
          </w:p>
          <w:p w14:paraId="0E811935">
            <w:pPr>
              <w:pStyle w:val="45"/>
              <w:bidi w:val="0"/>
              <w:rPr>
                <w:color w:val="auto"/>
              </w:rPr>
            </w:pPr>
            <w:r>
              <w:rPr>
                <w:color w:val="auto"/>
              </w:rPr>
              <w:t>系统</w:t>
            </w:r>
          </w:p>
        </w:tc>
        <w:tc>
          <w:tcPr>
            <w:tcW w:w="1511" w:type="pct"/>
            <w:noWrap w:val="0"/>
            <w:vAlign w:val="center"/>
          </w:tcPr>
          <w:p w14:paraId="1AB584E9">
            <w:pPr>
              <w:pStyle w:val="45"/>
              <w:bidi w:val="0"/>
              <w:rPr>
                <w:color w:val="auto"/>
              </w:rPr>
            </w:pPr>
            <w:r>
              <w:rPr>
                <w:color w:val="auto"/>
              </w:rPr>
              <w:t>4800m3/d</w:t>
            </w:r>
          </w:p>
        </w:tc>
        <w:tc>
          <w:tcPr>
            <w:tcW w:w="1691" w:type="pct"/>
            <w:noWrap w:val="0"/>
            <w:vAlign w:val="center"/>
          </w:tcPr>
          <w:p w14:paraId="4C204F3A">
            <w:pPr>
              <w:pStyle w:val="45"/>
              <w:bidi w:val="0"/>
              <w:rPr>
                <w:color w:val="auto"/>
              </w:rPr>
            </w:pPr>
            <w:r>
              <w:rPr>
                <w:color w:val="auto"/>
              </w:rPr>
              <w:t>园区自来水管网供应</w:t>
            </w:r>
          </w:p>
        </w:tc>
      </w:tr>
      <w:tr w14:paraId="3FF5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38911260">
            <w:pPr>
              <w:pStyle w:val="45"/>
              <w:bidi w:val="0"/>
              <w:rPr>
                <w:color w:val="auto"/>
              </w:rPr>
            </w:pPr>
          </w:p>
        </w:tc>
        <w:tc>
          <w:tcPr>
            <w:tcW w:w="486" w:type="pct"/>
            <w:vMerge w:val="continue"/>
            <w:noWrap w:val="0"/>
            <w:vAlign w:val="center"/>
          </w:tcPr>
          <w:p w14:paraId="551A5CA5">
            <w:pPr>
              <w:pStyle w:val="45"/>
              <w:bidi w:val="0"/>
              <w:rPr>
                <w:color w:val="auto"/>
              </w:rPr>
            </w:pPr>
          </w:p>
        </w:tc>
        <w:tc>
          <w:tcPr>
            <w:tcW w:w="820" w:type="pct"/>
            <w:noWrap w:val="0"/>
            <w:vAlign w:val="center"/>
          </w:tcPr>
          <w:p w14:paraId="46C014D1">
            <w:pPr>
              <w:pStyle w:val="45"/>
              <w:bidi w:val="0"/>
              <w:rPr>
                <w:color w:val="auto"/>
              </w:rPr>
            </w:pPr>
            <w:r>
              <w:rPr>
                <w:color w:val="auto"/>
              </w:rPr>
              <w:t>循环冷却水系统</w:t>
            </w:r>
          </w:p>
        </w:tc>
        <w:tc>
          <w:tcPr>
            <w:tcW w:w="1511" w:type="pct"/>
            <w:noWrap w:val="0"/>
            <w:vAlign w:val="center"/>
          </w:tcPr>
          <w:p w14:paraId="42EB7512">
            <w:pPr>
              <w:pStyle w:val="45"/>
              <w:bidi w:val="0"/>
              <w:rPr>
                <w:color w:val="auto"/>
              </w:rPr>
            </w:pPr>
            <w:r>
              <w:rPr>
                <w:color w:val="auto"/>
              </w:rPr>
              <w:t>已建</w:t>
            </w:r>
            <w:r>
              <w:rPr>
                <w:rFonts w:hint="eastAsia"/>
                <w:color w:val="auto"/>
                <w:lang w:val="en-US" w:eastAsia="zh-CN"/>
              </w:rPr>
              <w:t>10</w:t>
            </w:r>
            <w:r>
              <w:rPr>
                <w:color w:val="auto"/>
              </w:rPr>
              <w:t>85</w:t>
            </w:r>
            <w:r>
              <w:rPr>
                <w:rFonts w:hint="eastAsia"/>
                <w:color w:val="auto"/>
              </w:rPr>
              <w:t>0</w:t>
            </w:r>
            <w:r>
              <w:rPr>
                <w:color w:val="auto"/>
              </w:rPr>
              <w:t>t/h</w:t>
            </w:r>
          </w:p>
        </w:tc>
        <w:tc>
          <w:tcPr>
            <w:tcW w:w="1691" w:type="pct"/>
            <w:noWrap w:val="0"/>
            <w:vAlign w:val="center"/>
          </w:tcPr>
          <w:p w14:paraId="15DD4CC8">
            <w:pPr>
              <w:pStyle w:val="45"/>
              <w:bidi w:val="0"/>
              <w:rPr>
                <w:color w:val="auto"/>
              </w:rPr>
            </w:pPr>
            <w:r>
              <w:rPr>
                <w:color w:val="auto"/>
              </w:rPr>
              <w:t>园区工业用水管网</w:t>
            </w:r>
          </w:p>
        </w:tc>
      </w:tr>
      <w:tr w14:paraId="6FF0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026DCA41">
            <w:pPr>
              <w:pStyle w:val="45"/>
              <w:bidi w:val="0"/>
              <w:rPr>
                <w:color w:val="auto"/>
              </w:rPr>
            </w:pPr>
          </w:p>
        </w:tc>
        <w:tc>
          <w:tcPr>
            <w:tcW w:w="486" w:type="pct"/>
            <w:noWrap w:val="0"/>
            <w:vAlign w:val="center"/>
          </w:tcPr>
          <w:p w14:paraId="32B2D93D">
            <w:pPr>
              <w:pStyle w:val="45"/>
              <w:bidi w:val="0"/>
              <w:rPr>
                <w:color w:val="auto"/>
              </w:rPr>
            </w:pPr>
            <w:r>
              <w:rPr>
                <w:color w:val="auto"/>
              </w:rPr>
              <w:t>排水</w:t>
            </w:r>
          </w:p>
        </w:tc>
        <w:tc>
          <w:tcPr>
            <w:tcW w:w="820" w:type="pct"/>
            <w:noWrap w:val="0"/>
            <w:vAlign w:val="center"/>
          </w:tcPr>
          <w:p w14:paraId="2D7BE3A3">
            <w:pPr>
              <w:pStyle w:val="45"/>
              <w:bidi w:val="0"/>
              <w:rPr>
                <w:color w:val="auto"/>
              </w:rPr>
            </w:pPr>
            <w:r>
              <w:rPr>
                <w:color w:val="auto"/>
              </w:rPr>
              <w:t>废水收集、排水系统</w:t>
            </w:r>
          </w:p>
        </w:tc>
        <w:tc>
          <w:tcPr>
            <w:tcW w:w="1511" w:type="pct"/>
            <w:noWrap w:val="0"/>
            <w:vAlign w:val="center"/>
          </w:tcPr>
          <w:p w14:paraId="2A085141">
            <w:pPr>
              <w:pStyle w:val="45"/>
              <w:bidi w:val="0"/>
              <w:rPr>
                <w:color w:val="auto"/>
              </w:rPr>
            </w:pPr>
            <w:r>
              <w:rPr>
                <w:color w:val="auto"/>
              </w:rPr>
              <w:t>/</w:t>
            </w:r>
          </w:p>
        </w:tc>
        <w:tc>
          <w:tcPr>
            <w:tcW w:w="1691" w:type="pct"/>
            <w:noWrap w:val="0"/>
            <w:vAlign w:val="center"/>
          </w:tcPr>
          <w:p w14:paraId="6D653C28">
            <w:pPr>
              <w:pStyle w:val="45"/>
              <w:bidi w:val="0"/>
              <w:rPr>
                <w:color w:val="auto"/>
              </w:rPr>
            </w:pPr>
            <w:r>
              <w:rPr>
                <w:rFonts w:hint="eastAsia"/>
                <w:color w:val="auto"/>
              </w:rPr>
              <w:t>达标</w:t>
            </w:r>
            <w:r>
              <w:rPr>
                <w:color w:val="auto"/>
              </w:rPr>
              <w:t>排放</w:t>
            </w:r>
          </w:p>
        </w:tc>
      </w:tr>
      <w:tr w14:paraId="3132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490" w:type="pct"/>
            <w:vMerge w:val="continue"/>
            <w:noWrap w:val="0"/>
            <w:vAlign w:val="center"/>
          </w:tcPr>
          <w:p w14:paraId="48805DD2">
            <w:pPr>
              <w:pStyle w:val="45"/>
              <w:bidi w:val="0"/>
              <w:rPr>
                <w:color w:val="auto"/>
              </w:rPr>
            </w:pPr>
          </w:p>
        </w:tc>
        <w:tc>
          <w:tcPr>
            <w:tcW w:w="486" w:type="pct"/>
            <w:noWrap w:val="0"/>
            <w:vAlign w:val="center"/>
          </w:tcPr>
          <w:p w14:paraId="5811691D">
            <w:pPr>
              <w:pStyle w:val="45"/>
              <w:bidi w:val="0"/>
              <w:rPr>
                <w:color w:val="auto"/>
              </w:rPr>
            </w:pPr>
            <w:r>
              <w:rPr>
                <w:color w:val="auto"/>
              </w:rPr>
              <w:t>供热</w:t>
            </w:r>
          </w:p>
        </w:tc>
        <w:tc>
          <w:tcPr>
            <w:tcW w:w="820" w:type="pct"/>
            <w:noWrap w:val="0"/>
            <w:vAlign w:val="center"/>
          </w:tcPr>
          <w:p w14:paraId="75F43C82">
            <w:pPr>
              <w:pStyle w:val="45"/>
              <w:bidi w:val="0"/>
              <w:rPr>
                <w:color w:val="auto"/>
              </w:rPr>
            </w:pPr>
            <w:r>
              <w:rPr>
                <w:color w:val="auto"/>
              </w:rPr>
              <w:t>供热系统</w:t>
            </w:r>
          </w:p>
        </w:tc>
        <w:tc>
          <w:tcPr>
            <w:tcW w:w="1511" w:type="pct"/>
            <w:noWrap w:val="0"/>
            <w:vAlign w:val="center"/>
          </w:tcPr>
          <w:p w14:paraId="2A7E4BFE">
            <w:pPr>
              <w:pStyle w:val="45"/>
              <w:bidi w:val="0"/>
              <w:rPr>
                <w:color w:val="auto"/>
              </w:rPr>
            </w:pPr>
            <w:r>
              <w:rPr>
                <w:color w:val="auto"/>
              </w:rPr>
              <w:t>58t/h</w:t>
            </w:r>
          </w:p>
        </w:tc>
        <w:tc>
          <w:tcPr>
            <w:tcW w:w="1691" w:type="pct"/>
            <w:noWrap w:val="0"/>
            <w:vAlign w:val="center"/>
          </w:tcPr>
          <w:p w14:paraId="382153A8">
            <w:pPr>
              <w:pStyle w:val="45"/>
              <w:bidi w:val="0"/>
              <w:rPr>
                <w:color w:val="auto"/>
              </w:rPr>
            </w:pPr>
            <w:r>
              <w:rPr>
                <w:color w:val="auto"/>
              </w:rPr>
              <w:t>蒸汽主要由欣福化工供给</w:t>
            </w:r>
          </w:p>
        </w:tc>
      </w:tr>
      <w:tr w14:paraId="4843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3D82A87E">
            <w:pPr>
              <w:pStyle w:val="45"/>
              <w:bidi w:val="0"/>
              <w:rPr>
                <w:color w:val="auto"/>
              </w:rPr>
            </w:pPr>
          </w:p>
        </w:tc>
        <w:tc>
          <w:tcPr>
            <w:tcW w:w="486" w:type="pct"/>
            <w:noWrap w:val="0"/>
            <w:vAlign w:val="center"/>
          </w:tcPr>
          <w:p w14:paraId="508D6BF2">
            <w:pPr>
              <w:pStyle w:val="45"/>
              <w:bidi w:val="0"/>
              <w:rPr>
                <w:color w:val="auto"/>
              </w:rPr>
            </w:pPr>
            <w:r>
              <w:rPr>
                <w:color w:val="auto"/>
              </w:rPr>
              <w:t>供电</w:t>
            </w:r>
          </w:p>
        </w:tc>
        <w:tc>
          <w:tcPr>
            <w:tcW w:w="820" w:type="pct"/>
            <w:noWrap w:val="0"/>
            <w:vAlign w:val="center"/>
          </w:tcPr>
          <w:p w14:paraId="4CD3FE4E">
            <w:pPr>
              <w:pStyle w:val="45"/>
              <w:bidi w:val="0"/>
              <w:rPr>
                <w:color w:val="auto"/>
              </w:rPr>
            </w:pPr>
            <w:r>
              <w:rPr>
                <w:color w:val="auto"/>
              </w:rPr>
              <w:t>供电系统</w:t>
            </w:r>
          </w:p>
        </w:tc>
        <w:tc>
          <w:tcPr>
            <w:tcW w:w="1511" w:type="pct"/>
            <w:noWrap w:val="0"/>
            <w:vAlign w:val="center"/>
          </w:tcPr>
          <w:p w14:paraId="4C1D008C">
            <w:pPr>
              <w:pStyle w:val="45"/>
              <w:bidi w:val="0"/>
              <w:rPr>
                <w:color w:val="auto"/>
              </w:rPr>
            </w:pPr>
            <w:r>
              <w:rPr>
                <w:color w:val="auto"/>
              </w:rPr>
              <w:t>110KV，</w:t>
            </w:r>
          </w:p>
          <w:p w14:paraId="36391878">
            <w:pPr>
              <w:pStyle w:val="45"/>
              <w:bidi w:val="0"/>
              <w:rPr>
                <w:color w:val="auto"/>
              </w:rPr>
            </w:pPr>
            <w:r>
              <w:rPr>
                <w:color w:val="auto"/>
              </w:rPr>
              <w:t>配电31500KVA</w:t>
            </w:r>
          </w:p>
        </w:tc>
        <w:tc>
          <w:tcPr>
            <w:tcW w:w="1691" w:type="pct"/>
            <w:noWrap w:val="0"/>
            <w:vAlign w:val="center"/>
          </w:tcPr>
          <w:p w14:paraId="5B489216">
            <w:pPr>
              <w:pStyle w:val="45"/>
              <w:bidi w:val="0"/>
              <w:rPr>
                <w:color w:val="auto"/>
              </w:rPr>
            </w:pPr>
            <w:r>
              <w:rPr>
                <w:color w:val="auto"/>
              </w:rPr>
              <w:t>自建配电房，电话及火灾报警系统；用电由园区内110KVA变电所电网供给</w:t>
            </w:r>
          </w:p>
        </w:tc>
      </w:tr>
      <w:tr w14:paraId="3F48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07EEF73F">
            <w:pPr>
              <w:pStyle w:val="45"/>
              <w:bidi w:val="0"/>
              <w:rPr>
                <w:color w:val="auto"/>
              </w:rPr>
            </w:pPr>
          </w:p>
        </w:tc>
        <w:tc>
          <w:tcPr>
            <w:tcW w:w="486" w:type="pct"/>
            <w:noWrap w:val="0"/>
            <w:vAlign w:val="center"/>
          </w:tcPr>
          <w:p w14:paraId="2A646BF6">
            <w:pPr>
              <w:pStyle w:val="45"/>
              <w:bidi w:val="0"/>
              <w:rPr>
                <w:color w:val="auto"/>
              </w:rPr>
            </w:pPr>
            <w:r>
              <w:rPr>
                <w:color w:val="auto"/>
              </w:rPr>
              <w:t>供气</w:t>
            </w:r>
          </w:p>
        </w:tc>
        <w:tc>
          <w:tcPr>
            <w:tcW w:w="820" w:type="pct"/>
            <w:noWrap w:val="0"/>
            <w:vAlign w:val="center"/>
          </w:tcPr>
          <w:p w14:paraId="7B1F1B52">
            <w:pPr>
              <w:pStyle w:val="45"/>
              <w:bidi w:val="0"/>
              <w:rPr>
                <w:color w:val="auto"/>
              </w:rPr>
            </w:pPr>
            <w:r>
              <w:rPr>
                <w:color w:val="auto"/>
              </w:rPr>
              <w:t>氮气站</w:t>
            </w:r>
          </w:p>
        </w:tc>
        <w:tc>
          <w:tcPr>
            <w:tcW w:w="1511" w:type="pct"/>
            <w:noWrap w:val="0"/>
            <w:vAlign w:val="center"/>
          </w:tcPr>
          <w:p w14:paraId="122B3C5C">
            <w:pPr>
              <w:pStyle w:val="45"/>
              <w:bidi w:val="0"/>
              <w:rPr>
                <w:color w:val="auto"/>
              </w:rPr>
            </w:pPr>
            <w:r>
              <w:rPr>
                <w:color w:val="auto"/>
              </w:rPr>
              <w:t>800m3/h</w:t>
            </w:r>
          </w:p>
        </w:tc>
        <w:tc>
          <w:tcPr>
            <w:tcW w:w="1691" w:type="pct"/>
            <w:noWrap w:val="0"/>
            <w:vAlign w:val="center"/>
          </w:tcPr>
          <w:p w14:paraId="3144E735">
            <w:pPr>
              <w:pStyle w:val="45"/>
              <w:bidi w:val="0"/>
              <w:rPr>
                <w:color w:val="auto"/>
              </w:rPr>
            </w:pPr>
            <w:r>
              <w:rPr>
                <w:color w:val="auto"/>
              </w:rPr>
              <w:t>2只10 m3液氮罐</w:t>
            </w:r>
          </w:p>
          <w:p w14:paraId="5F0CC338">
            <w:pPr>
              <w:pStyle w:val="45"/>
              <w:bidi w:val="0"/>
              <w:rPr>
                <w:color w:val="auto"/>
              </w:rPr>
            </w:pPr>
            <w:r>
              <w:rPr>
                <w:color w:val="auto"/>
              </w:rPr>
              <w:t>1只50m3液氮罐</w:t>
            </w:r>
          </w:p>
        </w:tc>
      </w:tr>
      <w:tr w14:paraId="5296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296264F2">
            <w:pPr>
              <w:pStyle w:val="45"/>
              <w:bidi w:val="0"/>
              <w:rPr>
                <w:color w:val="auto"/>
              </w:rPr>
            </w:pPr>
          </w:p>
        </w:tc>
        <w:tc>
          <w:tcPr>
            <w:tcW w:w="486" w:type="pct"/>
            <w:noWrap w:val="0"/>
            <w:vAlign w:val="center"/>
          </w:tcPr>
          <w:p w14:paraId="6012E5A1">
            <w:pPr>
              <w:pStyle w:val="45"/>
              <w:bidi w:val="0"/>
              <w:rPr>
                <w:color w:val="auto"/>
              </w:rPr>
            </w:pPr>
            <w:r>
              <w:rPr>
                <w:color w:val="auto"/>
              </w:rPr>
              <w:t>制冷</w:t>
            </w:r>
          </w:p>
        </w:tc>
        <w:tc>
          <w:tcPr>
            <w:tcW w:w="820" w:type="pct"/>
            <w:noWrap w:val="0"/>
            <w:vAlign w:val="center"/>
          </w:tcPr>
          <w:p w14:paraId="7E5383AB">
            <w:pPr>
              <w:pStyle w:val="45"/>
              <w:bidi w:val="0"/>
              <w:rPr>
                <w:color w:val="auto"/>
              </w:rPr>
            </w:pPr>
            <w:r>
              <w:rPr>
                <w:color w:val="auto"/>
              </w:rPr>
              <w:t>冷冻机组</w:t>
            </w:r>
          </w:p>
        </w:tc>
        <w:tc>
          <w:tcPr>
            <w:tcW w:w="1511" w:type="pct"/>
            <w:noWrap w:val="0"/>
            <w:vAlign w:val="center"/>
          </w:tcPr>
          <w:p w14:paraId="53EE846F">
            <w:pPr>
              <w:pStyle w:val="45"/>
              <w:bidi w:val="0"/>
              <w:rPr>
                <w:color w:val="auto"/>
              </w:rPr>
            </w:pPr>
            <w:r>
              <w:rPr>
                <w:color w:val="auto"/>
              </w:rPr>
              <w:t>已建成有19台</w:t>
            </w:r>
          </w:p>
          <w:p w14:paraId="4AEAF444">
            <w:pPr>
              <w:pStyle w:val="45"/>
              <w:bidi w:val="0"/>
              <w:rPr>
                <w:color w:val="auto"/>
              </w:rPr>
            </w:pPr>
            <w:r>
              <w:rPr>
                <w:color w:val="auto"/>
              </w:rPr>
              <w:t>冷冻机组</w:t>
            </w:r>
            <w:r>
              <w:rPr>
                <w:rFonts w:hint="eastAsia"/>
                <w:color w:val="auto"/>
              </w:rPr>
              <w:t>，</w:t>
            </w:r>
          </w:p>
          <w:p w14:paraId="1B373852">
            <w:pPr>
              <w:pStyle w:val="45"/>
              <w:bidi w:val="0"/>
              <w:rPr>
                <w:color w:val="auto"/>
              </w:rPr>
            </w:pPr>
            <w:r>
              <w:rPr>
                <w:rFonts w:hint="eastAsia"/>
                <w:color w:val="auto"/>
              </w:rPr>
              <w:t>在建4台冷冻机组</w:t>
            </w:r>
          </w:p>
        </w:tc>
        <w:tc>
          <w:tcPr>
            <w:tcW w:w="1691" w:type="pct"/>
            <w:noWrap w:val="0"/>
            <w:vAlign w:val="center"/>
          </w:tcPr>
          <w:p w14:paraId="48D02481">
            <w:pPr>
              <w:pStyle w:val="45"/>
              <w:bidi w:val="0"/>
              <w:rPr>
                <w:color w:val="auto"/>
              </w:rPr>
            </w:pPr>
            <w:r>
              <w:rPr>
                <w:color w:val="auto"/>
              </w:rPr>
              <w:t>/</w:t>
            </w:r>
          </w:p>
        </w:tc>
      </w:tr>
      <w:tr w14:paraId="0F4E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5569F95D">
            <w:pPr>
              <w:pStyle w:val="45"/>
              <w:bidi w:val="0"/>
              <w:rPr>
                <w:color w:val="auto"/>
              </w:rPr>
            </w:pPr>
          </w:p>
        </w:tc>
        <w:tc>
          <w:tcPr>
            <w:tcW w:w="486" w:type="pct"/>
            <w:vMerge w:val="restart"/>
            <w:noWrap w:val="0"/>
            <w:vAlign w:val="center"/>
          </w:tcPr>
          <w:p w14:paraId="6A5B2E78">
            <w:pPr>
              <w:pStyle w:val="45"/>
              <w:bidi w:val="0"/>
              <w:rPr>
                <w:color w:val="auto"/>
              </w:rPr>
            </w:pPr>
            <w:r>
              <w:rPr>
                <w:color w:val="auto"/>
              </w:rPr>
              <w:t>消防</w:t>
            </w:r>
          </w:p>
        </w:tc>
        <w:tc>
          <w:tcPr>
            <w:tcW w:w="820" w:type="pct"/>
            <w:noWrap w:val="0"/>
            <w:vAlign w:val="center"/>
          </w:tcPr>
          <w:p w14:paraId="1732B721">
            <w:pPr>
              <w:pStyle w:val="45"/>
              <w:bidi w:val="0"/>
              <w:rPr>
                <w:color w:val="auto"/>
              </w:rPr>
            </w:pPr>
            <w:r>
              <w:rPr>
                <w:color w:val="auto"/>
              </w:rPr>
              <w:t>消防水</w:t>
            </w:r>
          </w:p>
          <w:p w14:paraId="3A1FC7E4">
            <w:pPr>
              <w:pStyle w:val="45"/>
              <w:bidi w:val="0"/>
              <w:rPr>
                <w:color w:val="auto"/>
              </w:rPr>
            </w:pPr>
            <w:r>
              <w:rPr>
                <w:color w:val="auto"/>
              </w:rPr>
              <w:t>系统</w:t>
            </w:r>
          </w:p>
        </w:tc>
        <w:tc>
          <w:tcPr>
            <w:tcW w:w="1511" w:type="pct"/>
            <w:noWrap w:val="0"/>
            <w:vAlign w:val="center"/>
          </w:tcPr>
          <w:p w14:paraId="73A0A15B">
            <w:pPr>
              <w:pStyle w:val="45"/>
              <w:bidi w:val="0"/>
              <w:rPr>
                <w:color w:val="auto"/>
              </w:rPr>
            </w:pPr>
            <w:r>
              <w:rPr>
                <w:color w:val="auto"/>
              </w:rPr>
              <w:t>消防水泵：流量180~306m3/h，压力＞0.6MPa</w:t>
            </w:r>
          </w:p>
        </w:tc>
        <w:tc>
          <w:tcPr>
            <w:tcW w:w="1691" w:type="pct"/>
            <w:noWrap w:val="0"/>
            <w:vAlign w:val="center"/>
          </w:tcPr>
          <w:p w14:paraId="6199A65D">
            <w:pPr>
              <w:pStyle w:val="45"/>
              <w:bidi w:val="0"/>
              <w:rPr>
                <w:color w:val="auto"/>
              </w:rPr>
            </w:pPr>
            <w:r>
              <w:rPr>
                <w:color w:val="auto"/>
              </w:rPr>
              <w:t>设有三台消防水泵，消防水池及DN300的供水环状管网</w:t>
            </w:r>
          </w:p>
        </w:tc>
      </w:tr>
      <w:tr w14:paraId="48AF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4BB3A194">
            <w:pPr>
              <w:pStyle w:val="45"/>
              <w:bidi w:val="0"/>
              <w:rPr>
                <w:color w:val="auto"/>
              </w:rPr>
            </w:pPr>
          </w:p>
        </w:tc>
        <w:tc>
          <w:tcPr>
            <w:tcW w:w="486" w:type="pct"/>
            <w:vMerge w:val="continue"/>
            <w:noWrap w:val="0"/>
            <w:vAlign w:val="center"/>
          </w:tcPr>
          <w:p w14:paraId="7988926B">
            <w:pPr>
              <w:pStyle w:val="45"/>
              <w:bidi w:val="0"/>
              <w:rPr>
                <w:color w:val="auto"/>
              </w:rPr>
            </w:pPr>
          </w:p>
        </w:tc>
        <w:tc>
          <w:tcPr>
            <w:tcW w:w="820" w:type="pct"/>
            <w:noWrap w:val="0"/>
            <w:vAlign w:val="center"/>
          </w:tcPr>
          <w:p w14:paraId="2A6E5F38">
            <w:pPr>
              <w:pStyle w:val="45"/>
              <w:bidi w:val="0"/>
              <w:rPr>
                <w:color w:val="auto"/>
              </w:rPr>
            </w:pPr>
            <w:r>
              <w:rPr>
                <w:color w:val="auto"/>
              </w:rPr>
              <w:t>泡沫消防</w:t>
            </w:r>
          </w:p>
          <w:p w14:paraId="206A3643">
            <w:pPr>
              <w:pStyle w:val="45"/>
              <w:bidi w:val="0"/>
              <w:rPr>
                <w:color w:val="auto"/>
              </w:rPr>
            </w:pPr>
            <w:r>
              <w:rPr>
                <w:color w:val="auto"/>
              </w:rPr>
              <w:t>系统</w:t>
            </w:r>
          </w:p>
        </w:tc>
        <w:tc>
          <w:tcPr>
            <w:tcW w:w="1511" w:type="pct"/>
            <w:noWrap w:val="0"/>
            <w:vAlign w:val="center"/>
          </w:tcPr>
          <w:p w14:paraId="782E27BE">
            <w:pPr>
              <w:pStyle w:val="45"/>
              <w:bidi w:val="0"/>
              <w:rPr>
                <w:color w:val="auto"/>
              </w:rPr>
            </w:pPr>
            <w:r>
              <w:rPr>
                <w:color w:val="auto"/>
              </w:rPr>
              <w:t>消防水泵</w:t>
            </w:r>
            <w:r>
              <w:rPr>
                <w:rFonts w:hint="eastAsia"/>
                <w:color w:val="auto"/>
              </w:rPr>
              <w:t>3</w:t>
            </w:r>
            <w:r>
              <w:rPr>
                <w:color w:val="auto"/>
              </w:rPr>
              <w:t>台（Q=120L/</w:t>
            </w:r>
            <w:r>
              <w:rPr>
                <w:rFonts w:hint="eastAsia"/>
                <w:color w:val="auto"/>
              </w:rPr>
              <w:t>s</w:t>
            </w:r>
            <w:r>
              <w:rPr>
                <w:color w:val="auto"/>
              </w:rPr>
              <w:t>，H = 100m）</w:t>
            </w:r>
          </w:p>
        </w:tc>
        <w:tc>
          <w:tcPr>
            <w:tcW w:w="1691" w:type="pct"/>
            <w:noWrap w:val="0"/>
            <w:vAlign w:val="center"/>
          </w:tcPr>
          <w:p w14:paraId="05692BAA">
            <w:pPr>
              <w:pStyle w:val="45"/>
              <w:bidi w:val="0"/>
              <w:rPr>
                <w:color w:val="auto"/>
              </w:rPr>
            </w:pPr>
            <w:r>
              <w:rPr>
                <w:color w:val="auto"/>
              </w:rPr>
              <w:t>对易燃液体的生产装置区、罐区和成品库区设有半固定式泡沫灭火系统</w:t>
            </w:r>
          </w:p>
        </w:tc>
      </w:tr>
      <w:tr w14:paraId="282F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pct"/>
            <w:vMerge w:val="continue"/>
            <w:noWrap w:val="0"/>
            <w:vAlign w:val="center"/>
          </w:tcPr>
          <w:p w14:paraId="799201A2">
            <w:pPr>
              <w:pStyle w:val="45"/>
              <w:bidi w:val="0"/>
              <w:rPr>
                <w:color w:val="auto"/>
              </w:rPr>
            </w:pPr>
          </w:p>
        </w:tc>
        <w:tc>
          <w:tcPr>
            <w:tcW w:w="486" w:type="pct"/>
            <w:noWrap w:val="0"/>
            <w:vAlign w:val="center"/>
          </w:tcPr>
          <w:p w14:paraId="4A39DC1A">
            <w:pPr>
              <w:pStyle w:val="45"/>
              <w:bidi w:val="0"/>
              <w:rPr>
                <w:color w:val="auto"/>
              </w:rPr>
            </w:pPr>
            <w:r>
              <w:rPr>
                <w:color w:val="auto"/>
              </w:rPr>
              <w:t>绿化</w:t>
            </w:r>
          </w:p>
        </w:tc>
        <w:tc>
          <w:tcPr>
            <w:tcW w:w="820" w:type="pct"/>
            <w:noWrap w:val="0"/>
            <w:vAlign w:val="center"/>
          </w:tcPr>
          <w:p w14:paraId="37BCB6CC">
            <w:pPr>
              <w:pStyle w:val="45"/>
              <w:bidi w:val="0"/>
              <w:rPr>
                <w:color w:val="auto"/>
              </w:rPr>
            </w:pPr>
            <w:r>
              <w:rPr>
                <w:color w:val="auto"/>
              </w:rPr>
              <w:t>厂区绿化</w:t>
            </w:r>
          </w:p>
        </w:tc>
        <w:tc>
          <w:tcPr>
            <w:tcW w:w="1511" w:type="pct"/>
            <w:noWrap w:val="0"/>
            <w:vAlign w:val="center"/>
          </w:tcPr>
          <w:p w14:paraId="697BA9CF">
            <w:pPr>
              <w:pStyle w:val="45"/>
              <w:bidi w:val="0"/>
              <w:rPr>
                <w:color w:val="auto"/>
              </w:rPr>
            </w:pPr>
            <w:r>
              <w:rPr>
                <w:color w:val="auto"/>
              </w:rPr>
              <w:t xml:space="preserve">绿化面积12000 m2，绿化率≥15% </w:t>
            </w:r>
          </w:p>
        </w:tc>
        <w:tc>
          <w:tcPr>
            <w:tcW w:w="1691" w:type="pct"/>
            <w:noWrap w:val="0"/>
            <w:vAlign w:val="center"/>
          </w:tcPr>
          <w:p w14:paraId="029FDFAD">
            <w:pPr>
              <w:pStyle w:val="45"/>
              <w:bidi w:val="0"/>
              <w:rPr>
                <w:color w:val="auto"/>
              </w:rPr>
            </w:pPr>
            <w:r>
              <w:rPr>
                <w:color w:val="auto"/>
              </w:rPr>
              <w:t>已建成，符合园区要求</w:t>
            </w:r>
          </w:p>
        </w:tc>
      </w:tr>
      <w:tr w14:paraId="38E4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7" w:type="pct"/>
            <w:gridSpan w:val="2"/>
            <w:vMerge w:val="restart"/>
            <w:noWrap w:val="0"/>
            <w:vAlign w:val="center"/>
          </w:tcPr>
          <w:p w14:paraId="67281CBA">
            <w:pPr>
              <w:pStyle w:val="45"/>
              <w:bidi w:val="0"/>
              <w:rPr>
                <w:color w:val="auto"/>
              </w:rPr>
            </w:pPr>
            <w:r>
              <w:rPr>
                <w:color w:val="auto"/>
              </w:rPr>
              <w:t>贮运工程</w:t>
            </w:r>
          </w:p>
        </w:tc>
        <w:tc>
          <w:tcPr>
            <w:tcW w:w="820" w:type="pct"/>
            <w:noWrap w:val="0"/>
            <w:vAlign w:val="center"/>
          </w:tcPr>
          <w:p w14:paraId="2A5D827A">
            <w:pPr>
              <w:pStyle w:val="45"/>
              <w:bidi w:val="0"/>
              <w:rPr>
                <w:color w:val="auto"/>
                <w:lang w:val="en-US" w:eastAsia="zh-CN"/>
              </w:rPr>
            </w:pPr>
            <w:r>
              <w:rPr>
                <w:color w:val="auto"/>
              </w:rPr>
              <w:t>仓库</w:t>
            </w:r>
          </w:p>
        </w:tc>
        <w:tc>
          <w:tcPr>
            <w:tcW w:w="1511" w:type="pct"/>
            <w:noWrap w:val="0"/>
            <w:vAlign w:val="center"/>
          </w:tcPr>
          <w:p w14:paraId="6D6DD912">
            <w:pPr>
              <w:pStyle w:val="45"/>
              <w:bidi w:val="0"/>
              <w:rPr>
                <w:rFonts w:hint="default"/>
                <w:color w:val="auto"/>
                <w:lang w:val="en-US" w:eastAsia="zh-CN"/>
              </w:rPr>
            </w:pPr>
            <w:r>
              <w:rPr>
                <w:rFonts w:hint="eastAsia"/>
                <w:color w:val="auto"/>
                <w:lang w:val="en-US" w:eastAsia="zh-CN"/>
              </w:rPr>
              <w:t>见下表</w:t>
            </w:r>
          </w:p>
        </w:tc>
        <w:tc>
          <w:tcPr>
            <w:tcW w:w="1691" w:type="pct"/>
            <w:noWrap w:val="0"/>
            <w:vAlign w:val="center"/>
          </w:tcPr>
          <w:p w14:paraId="76B81E2D">
            <w:pPr>
              <w:pStyle w:val="45"/>
              <w:bidi w:val="0"/>
              <w:rPr>
                <w:color w:val="auto"/>
              </w:rPr>
            </w:pPr>
          </w:p>
        </w:tc>
      </w:tr>
      <w:tr w14:paraId="5BAA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7" w:type="pct"/>
            <w:gridSpan w:val="2"/>
            <w:vMerge w:val="continue"/>
            <w:noWrap w:val="0"/>
            <w:vAlign w:val="center"/>
          </w:tcPr>
          <w:p w14:paraId="0A170BA0">
            <w:pPr>
              <w:pStyle w:val="45"/>
              <w:bidi w:val="0"/>
              <w:rPr>
                <w:color w:val="auto"/>
              </w:rPr>
            </w:pPr>
          </w:p>
        </w:tc>
        <w:tc>
          <w:tcPr>
            <w:tcW w:w="820" w:type="pct"/>
            <w:noWrap w:val="0"/>
            <w:vAlign w:val="center"/>
          </w:tcPr>
          <w:p w14:paraId="7E7DF41C">
            <w:pPr>
              <w:pStyle w:val="45"/>
              <w:bidi w:val="0"/>
              <w:rPr>
                <w:color w:val="auto"/>
                <w:lang w:val="en-US" w:eastAsia="zh-CN"/>
              </w:rPr>
            </w:pPr>
            <w:r>
              <w:rPr>
                <w:color w:val="auto"/>
              </w:rPr>
              <w:t>储罐区</w:t>
            </w:r>
          </w:p>
        </w:tc>
        <w:tc>
          <w:tcPr>
            <w:tcW w:w="1511" w:type="pct"/>
            <w:noWrap w:val="0"/>
            <w:vAlign w:val="center"/>
          </w:tcPr>
          <w:p w14:paraId="60AF1372">
            <w:pPr>
              <w:pStyle w:val="45"/>
              <w:bidi w:val="0"/>
              <w:rPr>
                <w:color w:val="auto"/>
              </w:rPr>
            </w:pPr>
            <w:r>
              <w:rPr>
                <w:rFonts w:hint="eastAsia"/>
                <w:color w:val="auto"/>
                <w:lang w:val="en-US" w:eastAsia="zh-CN"/>
              </w:rPr>
              <w:t>见下表</w:t>
            </w:r>
          </w:p>
        </w:tc>
        <w:tc>
          <w:tcPr>
            <w:tcW w:w="1691" w:type="pct"/>
            <w:noWrap w:val="0"/>
            <w:vAlign w:val="center"/>
          </w:tcPr>
          <w:p w14:paraId="12A41843">
            <w:pPr>
              <w:pStyle w:val="45"/>
              <w:bidi w:val="0"/>
              <w:rPr>
                <w:color w:val="auto"/>
              </w:rPr>
            </w:pPr>
          </w:p>
        </w:tc>
      </w:tr>
      <w:tr w14:paraId="459B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7" w:type="pct"/>
            <w:gridSpan w:val="2"/>
            <w:vMerge w:val="restart"/>
            <w:noWrap w:val="0"/>
            <w:vAlign w:val="center"/>
          </w:tcPr>
          <w:p w14:paraId="65307689">
            <w:pPr>
              <w:pStyle w:val="45"/>
              <w:bidi w:val="0"/>
              <w:rPr>
                <w:color w:val="auto"/>
              </w:rPr>
            </w:pPr>
            <w:r>
              <w:rPr>
                <w:color w:val="auto"/>
              </w:rPr>
              <w:t>环保工程</w:t>
            </w:r>
          </w:p>
        </w:tc>
        <w:tc>
          <w:tcPr>
            <w:tcW w:w="820" w:type="pct"/>
            <w:noWrap w:val="0"/>
            <w:vAlign w:val="center"/>
          </w:tcPr>
          <w:p w14:paraId="009DB2AA">
            <w:pPr>
              <w:pStyle w:val="45"/>
              <w:bidi w:val="0"/>
              <w:rPr>
                <w:color w:val="auto"/>
              </w:rPr>
            </w:pPr>
            <w:r>
              <w:rPr>
                <w:color w:val="auto"/>
              </w:rPr>
              <w:t>废水处理站</w:t>
            </w:r>
          </w:p>
        </w:tc>
        <w:tc>
          <w:tcPr>
            <w:tcW w:w="1511" w:type="pct"/>
            <w:noWrap w:val="0"/>
            <w:vAlign w:val="center"/>
          </w:tcPr>
          <w:p w14:paraId="3C54A1F2">
            <w:pPr>
              <w:pStyle w:val="45"/>
              <w:bidi w:val="0"/>
              <w:rPr>
                <w:color w:val="auto"/>
              </w:rPr>
            </w:pPr>
            <w:r>
              <w:rPr>
                <w:color w:val="auto"/>
              </w:rPr>
              <w:t>污水处理站设计处理能力1000t/d、</w:t>
            </w:r>
          </w:p>
          <w:p w14:paraId="2CB6AE58">
            <w:pPr>
              <w:pStyle w:val="45"/>
              <w:bidi w:val="0"/>
              <w:rPr>
                <w:color w:val="auto"/>
              </w:rPr>
            </w:pPr>
            <w:r>
              <w:rPr>
                <w:rFonts w:hint="eastAsia"/>
                <w:color w:val="auto"/>
              </w:rPr>
              <w:t>MVR</w:t>
            </w:r>
            <w:r>
              <w:rPr>
                <w:color w:val="auto"/>
              </w:rPr>
              <w:t>蒸发器5t/h</w:t>
            </w:r>
          </w:p>
        </w:tc>
        <w:tc>
          <w:tcPr>
            <w:tcW w:w="1691" w:type="pct"/>
            <w:noWrap w:val="0"/>
            <w:vAlign w:val="center"/>
          </w:tcPr>
          <w:p w14:paraId="3198FC9C">
            <w:pPr>
              <w:pStyle w:val="45"/>
              <w:bidi w:val="0"/>
              <w:rPr>
                <w:color w:val="auto"/>
              </w:rPr>
            </w:pPr>
            <w:r>
              <w:rPr>
                <w:rFonts w:hint="eastAsia"/>
                <w:color w:val="auto"/>
              </w:rPr>
              <w:t>正常运行</w:t>
            </w:r>
          </w:p>
        </w:tc>
      </w:tr>
      <w:tr w14:paraId="69AE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977" w:type="pct"/>
            <w:gridSpan w:val="2"/>
            <w:vMerge w:val="continue"/>
            <w:noWrap w:val="0"/>
            <w:vAlign w:val="center"/>
          </w:tcPr>
          <w:p w14:paraId="217328E7">
            <w:pPr>
              <w:pStyle w:val="45"/>
              <w:bidi w:val="0"/>
              <w:rPr>
                <w:color w:val="auto"/>
              </w:rPr>
            </w:pPr>
          </w:p>
        </w:tc>
        <w:tc>
          <w:tcPr>
            <w:tcW w:w="820" w:type="pct"/>
            <w:noWrap w:val="0"/>
            <w:vAlign w:val="center"/>
          </w:tcPr>
          <w:p w14:paraId="4BB7E5EA">
            <w:pPr>
              <w:pStyle w:val="45"/>
              <w:bidi w:val="0"/>
              <w:rPr>
                <w:color w:val="auto"/>
              </w:rPr>
            </w:pPr>
            <w:r>
              <w:rPr>
                <w:color w:val="auto"/>
              </w:rPr>
              <w:t>事故水池</w:t>
            </w:r>
          </w:p>
        </w:tc>
        <w:tc>
          <w:tcPr>
            <w:tcW w:w="1511" w:type="pct"/>
            <w:noWrap w:val="0"/>
            <w:vAlign w:val="center"/>
          </w:tcPr>
          <w:p w14:paraId="23356F74">
            <w:pPr>
              <w:pStyle w:val="45"/>
              <w:bidi w:val="0"/>
              <w:rPr>
                <w:color w:val="auto"/>
              </w:rPr>
            </w:pPr>
            <w:r>
              <w:rPr>
                <w:rFonts w:hint="eastAsia"/>
                <w:color w:val="auto"/>
              </w:rPr>
              <w:t>按</w:t>
            </w:r>
            <w:r>
              <w:rPr>
                <w:color w:val="auto"/>
              </w:rPr>
              <w:t>全厂设一个</w:t>
            </w:r>
            <w:r>
              <w:rPr>
                <w:rFonts w:hint="eastAsia"/>
                <w:color w:val="auto"/>
              </w:rPr>
              <w:t>2537</w:t>
            </w:r>
            <w:r>
              <w:rPr>
                <w:color w:val="auto"/>
              </w:rPr>
              <w:t xml:space="preserve"> m3的事故应急池</w:t>
            </w:r>
          </w:p>
        </w:tc>
        <w:tc>
          <w:tcPr>
            <w:tcW w:w="1691" w:type="pct"/>
            <w:noWrap w:val="0"/>
            <w:vAlign w:val="center"/>
          </w:tcPr>
          <w:p w14:paraId="34869921">
            <w:pPr>
              <w:pStyle w:val="45"/>
              <w:bidi w:val="0"/>
              <w:rPr>
                <w:color w:val="auto"/>
              </w:rPr>
            </w:pPr>
            <w:r>
              <w:rPr>
                <w:color w:val="auto"/>
              </w:rPr>
              <w:t>事故池常年保持清空状态</w:t>
            </w:r>
          </w:p>
        </w:tc>
      </w:tr>
      <w:tr w14:paraId="3B31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977" w:type="pct"/>
            <w:gridSpan w:val="2"/>
            <w:vMerge w:val="continue"/>
            <w:noWrap w:val="0"/>
            <w:vAlign w:val="center"/>
          </w:tcPr>
          <w:p w14:paraId="2A0A1B72">
            <w:pPr>
              <w:pStyle w:val="45"/>
              <w:bidi w:val="0"/>
              <w:rPr>
                <w:color w:val="auto"/>
              </w:rPr>
            </w:pPr>
          </w:p>
        </w:tc>
        <w:tc>
          <w:tcPr>
            <w:tcW w:w="820" w:type="pct"/>
            <w:vMerge w:val="restart"/>
            <w:noWrap w:val="0"/>
            <w:vAlign w:val="center"/>
          </w:tcPr>
          <w:p w14:paraId="378BA477">
            <w:pPr>
              <w:pStyle w:val="45"/>
              <w:bidi w:val="0"/>
              <w:rPr>
                <w:color w:val="auto"/>
              </w:rPr>
            </w:pPr>
            <w:r>
              <w:rPr>
                <w:color w:val="auto"/>
              </w:rPr>
              <w:t>废气处理</w:t>
            </w:r>
          </w:p>
        </w:tc>
        <w:tc>
          <w:tcPr>
            <w:tcW w:w="1511" w:type="pct"/>
            <w:noWrap w:val="0"/>
            <w:vAlign w:val="center"/>
          </w:tcPr>
          <w:p w14:paraId="130017EE">
            <w:pPr>
              <w:pStyle w:val="45"/>
              <w:bidi w:val="0"/>
              <w:rPr>
                <w:color w:val="auto"/>
              </w:rPr>
            </w:pPr>
            <w:r>
              <w:rPr>
                <w:color w:val="auto"/>
              </w:rPr>
              <w:t>AHF回转窑废气，二期</w:t>
            </w:r>
          </w:p>
        </w:tc>
        <w:tc>
          <w:tcPr>
            <w:tcW w:w="1691" w:type="pct"/>
            <w:noWrap w:val="0"/>
            <w:vAlign w:val="center"/>
          </w:tcPr>
          <w:p w14:paraId="69D4A7F8">
            <w:pPr>
              <w:pStyle w:val="45"/>
              <w:bidi w:val="0"/>
              <w:rPr>
                <w:color w:val="auto"/>
              </w:rPr>
            </w:pPr>
            <w:r>
              <w:rPr>
                <w:rFonts w:hint="eastAsia"/>
                <w:color w:val="auto"/>
              </w:rPr>
              <w:t>经煤改气后回转窑天然气燃烧尾气</w:t>
            </w:r>
            <w:r>
              <w:rPr>
                <w:color w:val="auto"/>
              </w:rPr>
              <w:t>分别通过</w:t>
            </w:r>
            <w:r>
              <w:rPr>
                <w:rFonts w:hint="eastAsia"/>
                <w:color w:val="auto"/>
              </w:rPr>
              <w:t>2</w:t>
            </w:r>
            <w:r>
              <w:rPr>
                <w:color w:val="auto"/>
              </w:rPr>
              <w:t>个27m排气筒排放</w:t>
            </w:r>
            <w:r>
              <w:rPr>
                <w:rFonts w:hint="eastAsia"/>
                <w:color w:val="auto"/>
              </w:rPr>
              <w:t>（DA001、DA003）</w:t>
            </w:r>
          </w:p>
        </w:tc>
      </w:tr>
      <w:tr w14:paraId="2999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977" w:type="pct"/>
            <w:gridSpan w:val="2"/>
            <w:vMerge w:val="continue"/>
            <w:noWrap w:val="0"/>
            <w:vAlign w:val="center"/>
          </w:tcPr>
          <w:p w14:paraId="13478CDC">
            <w:pPr>
              <w:pStyle w:val="45"/>
              <w:bidi w:val="0"/>
              <w:rPr>
                <w:color w:val="auto"/>
              </w:rPr>
            </w:pPr>
          </w:p>
        </w:tc>
        <w:tc>
          <w:tcPr>
            <w:tcW w:w="820" w:type="pct"/>
            <w:vMerge w:val="continue"/>
            <w:noWrap w:val="0"/>
            <w:vAlign w:val="center"/>
          </w:tcPr>
          <w:p w14:paraId="2FC4AC13">
            <w:pPr>
              <w:pStyle w:val="45"/>
              <w:bidi w:val="0"/>
              <w:rPr>
                <w:color w:val="auto"/>
              </w:rPr>
            </w:pPr>
          </w:p>
        </w:tc>
        <w:tc>
          <w:tcPr>
            <w:tcW w:w="1511" w:type="pct"/>
            <w:noWrap w:val="0"/>
            <w:vAlign w:val="center"/>
          </w:tcPr>
          <w:p w14:paraId="7B143601">
            <w:pPr>
              <w:pStyle w:val="45"/>
              <w:bidi w:val="0"/>
              <w:rPr>
                <w:color w:val="auto"/>
              </w:rPr>
            </w:pPr>
            <w:r>
              <w:rPr>
                <w:color w:val="auto"/>
              </w:rPr>
              <w:t>AHF碱洗塔废气</w:t>
            </w:r>
          </w:p>
        </w:tc>
        <w:tc>
          <w:tcPr>
            <w:tcW w:w="1691" w:type="pct"/>
            <w:noWrap w:val="0"/>
            <w:vAlign w:val="center"/>
          </w:tcPr>
          <w:p w14:paraId="114BB8E1">
            <w:pPr>
              <w:pStyle w:val="45"/>
              <w:bidi w:val="0"/>
              <w:rPr>
                <w:color w:val="auto"/>
              </w:rPr>
            </w:pPr>
            <w:r>
              <w:rPr>
                <w:color w:val="auto"/>
              </w:rPr>
              <w:t>主要成分为氟化物和二氧化碳，通过</w:t>
            </w:r>
            <w:r>
              <w:rPr>
                <w:rFonts w:hint="eastAsia"/>
                <w:color w:val="auto"/>
              </w:rPr>
              <w:t>2根4</w:t>
            </w:r>
            <w:r>
              <w:rPr>
                <w:color w:val="auto"/>
              </w:rPr>
              <w:t>5m高排气筒直接排放</w:t>
            </w:r>
            <w:r>
              <w:rPr>
                <w:rFonts w:hint="eastAsia"/>
                <w:color w:val="auto"/>
              </w:rPr>
              <w:t>（DA004、DA006）</w:t>
            </w:r>
          </w:p>
        </w:tc>
      </w:tr>
      <w:tr w14:paraId="463B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77" w:type="pct"/>
            <w:gridSpan w:val="2"/>
            <w:vMerge w:val="continue"/>
            <w:noWrap w:val="0"/>
            <w:vAlign w:val="center"/>
          </w:tcPr>
          <w:p w14:paraId="0CE1DC29">
            <w:pPr>
              <w:pStyle w:val="45"/>
              <w:bidi w:val="0"/>
              <w:rPr>
                <w:color w:val="auto"/>
              </w:rPr>
            </w:pPr>
          </w:p>
        </w:tc>
        <w:tc>
          <w:tcPr>
            <w:tcW w:w="820" w:type="pct"/>
            <w:vMerge w:val="continue"/>
            <w:noWrap w:val="0"/>
            <w:vAlign w:val="center"/>
          </w:tcPr>
          <w:p w14:paraId="62273058">
            <w:pPr>
              <w:pStyle w:val="45"/>
              <w:bidi w:val="0"/>
              <w:rPr>
                <w:color w:val="auto"/>
              </w:rPr>
            </w:pPr>
          </w:p>
        </w:tc>
        <w:tc>
          <w:tcPr>
            <w:tcW w:w="1511" w:type="pct"/>
            <w:noWrap w:val="0"/>
            <w:vAlign w:val="center"/>
          </w:tcPr>
          <w:p w14:paraId="3A4BD616">
            <w:pPr>
              <w:pStyle w:val="45"/>
              <w:bidi w:val="0"/>
              <w:rPr>
                <w:color w:val="auto"/>
              </w:rPr>
            </w:pPr>
            <w:r>
              <w:rPr>
                <w:rFonts w:hint="eastAsia"/>
                <w:color w:val="auto"/>
              </w:rPr>
              <w:t>生产</w:t>
            </w:r>
            <w:r>
              <w:rPr>
                <w:color w:val="auto"/>
              </w:rPr>
              <w:t>工艺</w:t>
            </w:r>
            <w:r>
              <w:rPr>
                <w:rFonts w:hint="eastAsia"/>
                <w:color w:val="auto"/>
              </w:rPr>
              <w:t>产生的氟氯烃</w:t>
            </w:r>
            <w:r>
              <w:rPr>
                <w:color w:val="auto"/>
              </w:rPr>
              <w:t>废气</w:t>
            </w:r>
          </w:p>
        </w:tc>
        <w:tc>
          <w:tcPr>
            <w:tcW w:w="1691" w:type="pct"/>
            <w:noWrap w:val="0"/>
            <w:vAlign w:val="center"/>
          </w:tcPr>
          <w:p w14:paraId="64E5777E">
            <w:pPr>
              <w:pStyle w:val="45"/>
              <w:bidi w:val="0"/>
              <w:rPr>
                <w:color w:val="auto"/>
              </w:rPr>
            </w:pPr>
            <w:r>
              <w:rPr>
                <w:rFonts w:hint="eastAsia"/>
                <w:color w:val="auto"/>
              </w:rPr>
              <w:t>厂内焚烧炉处理</w:t>
            </w:r>
          </w:p>
        </w:tc>
      </w:tr>
      <w:tr w14:paraId="4920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77" w:type="pct"/>
            <w:gridSpan w:val="2"/>
            <w:vMerge w:val="continue"/>
            <w:noWrap w:val="0"/>
            <w:vAlign w:val="center"/>
          </w:tcPr>
          <w:p w14:paraId="27532479">
            <w:pPr>
              <w:pStyle w:val="45"/>
              <w:bidi w:val="0"/>
              <w:rPr>
                <w:color w:val="auto"/>
              </w:rPr>
            </w:pPr>
          </w:p>
        </w:tc>
        <w:tc>
          <w:tcPr>
            <w:tcW w:w="820" w:type="pct"/>
            <w:vMerge w:val="continue"/>
            <w:noWrap w:val="0"/>
            <w:vAlign w:val="center"/>
          </w:tcPr>
          <w:p w14:paraId="65A8ECB2">
            <w:pPr>
              <w:pStyle w:val="45"/>
              <w:bidi w:val="0"/>
              <w:rPr>
                <w:color w:val="auto"/>
              </w:rPr>
            </w:pPr>
          </w:p>
        </w:tc>
        <w:tc>
          <w:tcPr>
            <w:tcW w:w="1511" w:type="pct"/>
            <w:noWrap w:val="0"/>
            <w:vAlign w:val="center"/>
          </w:tcPr>
          <w:p w14:paraId="7D80442B">
            <w:pPr>
              <w:pStyle w:val="45"/>
              <w:bidi w:val="0"/>
              <w:rPr>
                <w:color w:val="auto"/>
              </w:rPr>
            </w:pPr>
            <w:r>
              <w:rPr>
                <w:color w:val="auto"/>
              </w:rPr>
              <w:t>Zn</w:t>
            </w:r>
            <w:r>
              <w:rPr>
                <w:rFonts w:hint="eastAsia"/>
                <w:color w:val="auto"/>
              </w:rPr>
              <w:t>Cl2</w:t>
            </w:r>
            <w:r>
              <w:rPr>
                <w:color w:val="auto"/>
              </w:rPr>
              <w:t>工艺</w:t>
            </w:r>
            <w:r>
              <w:rPr>
                <w:rFonts w:hint="eastAsia"/>
                <w:color w:val="auto"/>
              </w:rPr>
              <w:t>废气</w:t>
            </w:r>
          </w:p>
          <w:p w14:paraId="4AE29C22">
            <w:pPr>
              <w:pStyle w:val="45"/>
              <w:bidi w:val="0"/>
              <w:rPr>
                <w:color w:val="auto"/>
              </w:rPr>
            </w:pPr>
            <w:r>
              <w:rPr>
                <w:rFonts w:hint="eastAsia"/>
                <w:color w:val="auto"/>
              </w:rPr>
              <w:t>（</w:t>
            </w:r>
            <w:r>
              <w:rPr>
                <w:color w:val="auto"/>
              </w:rPr>
              <w:t>甲醇</w:t>
            </w:r>
            <w:r>
              <w:rPr>
                <w:rFonts w:hint="eastAsia"/>
                <w:color w:val="auto"/>
              </w:rPr>
              <w:t>）</w:t>
            </w:r>
          </w:p>
        </w:tc>
        <w:tc>
          <w:tcPr>
            <w:tcW w:w="1691" w:type="pct"/>
            <w:noWrap w:val="0"/>
            <w:vAlign w:val="center"/>
          </w:tcPr>
          <w:p w14:paraId="73E869D8">
            <w:pPr>
              <w:pStyle w:val="45"/>
              <w:bidi w:val="0"/>
              <w:rPr>
                <w:color w:val="auto"/>
              </w:rPr>
            </w:pPr>
            <w:r>
              <w:rPr>
                <w:rFonts w:hint="eastAsia"/>
                <w:color w:val="auto"/>
              </w:rPr>
              <w:t>一级水吸收</w:t>
            </w:r>
            <w:r>
              <w:rPr>
                <w:rFonts w:hint="eastAsia"/>
                <w:color w:val="auto"/>
                <w:lang w:val="en-US" w:eastAsia="zh-CN"/>
              </w:rPr>
              <w:t>+催化燃烧</w:t>
            </w:r>
            <w:r>
              <w:rPr>
                <w:rFonts w:hint="eastAsia"/>
                <w:color w:val="auto"/>
              </w:rPr>
              <w:t>装置，并配</w:t>
            </w:r>
            <w:r>
              <w:rPr>
                <w:color w:val="auto"/>
              </w:rPr>
              <w:t>15m</w:t>
            </w:r>
            <w:r>
              <w:rPr>
                <w:rFonts w:hint="eastAsia"/>
                <w:color w:val="auto"/>
              </w:rPr>
              <w:t>排气筒（DA0</w:t>
            </w:r>
            <w:r>
              <w:rPr>
                <w:color w:val="auto"/>
              </w:rPr>
              <w:t>1</w:t>
            </w:r>
            <w:r>
              <w:rPr>
                <w:rFonts w:hint="eastAsia"/>
                <w:color w:val="auto"/>
                <w:lang w:val="en-US" w:eastAsia="zh-CN"/>
              </w:rPr>
              <w:t>2</w:t>
            </w:r>
            <w:r>
              <w:rPr>
                <w:rFonts w:hint="eastAsia"/>
                <w:color w:val="auto"/>
              </w:rPr>
              <w:t>）</w:t>
            </w:r>
          </w:p>
        </w:tc>
      </w:tr>
      <w:tr w14:paraId="7D31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977" w:type="pct"/>
            <w:gridSpan w:val="2"/>
            <w:vMerge w:val="continue"/>
            <w:noWrap w:val="0"/>
            <w:vAlign w:val="center"/>
          </w:tcPr>
          <w:p w14:paraId="500311DC">
            <w:pPr>
              <w:pStyle w:val="45"/>
              <w:bidi w:val="0"/>
              <w:rPr>
                <w:color w:val="auto"/>
              </w:rPr>
            </w:pPr>
          </w:p>
        </w:tc>
        <w:tc>
          <w:tcPr>
            <w:tcW w:w="820" w:type="pct"/>
            <w:vMerge w:val="continue"/>
            <w:noWrap w:val="0"/>
            <w:vAlign w:val="center"/>
          </w:tcPr>
          <w:p w14:paraId="57EFDA4A">
            <w:pPr>
              <w:pStyle w:val="45"/>
              <w:bidi w:val="0"/>
              <w:rPr>
                <w:color w:val="auto"/>
              </w:rPr>
            </w:pPr>
          </w:p>
        </w:tc>
        <w:tc>
          <w:tcPr>
            <w:tcW w:w="1511" w:type="pct"/>
            <w:noWrap w:val="0"/>
            <w:vAlign w:val="center"/>
          </w:tcPr>
          <w:p w14:paraId="6C39338A">
            <w:pPr>
              <w:pStyle w:val="45"/>
              <w:bidi w:val="0"/>
              <w:rPr>
                <w:color w:val="auto"/>
              </w:rPr>
            </w:pPr>
            <w:r>
              <w:rPr>
                <w:color w:val="auto"/>
              </w:rPr>
              <w:t>焚烧炉废气</w:t>
            </w:r>
          </w:p>
        </w:tc>
        <w:tc>
          <w:tcPr>
            <w:tcW w:w="1691" w:type="pct"/>
            <w:noWrap w:val="0"/>
            <w:vAlign w:val="center"/>
          </w:tcPr>
          <w:p w14:paraId="1F07A0C9">
            <w:pPr>
              <w:pStyle w:val="45"/>
              <w:bidi w:val="0"/>
              <w:rPr>
                <w:color w:val="auto"/>
              </w:rPr>
            </w:pPr>
            <w:r>
              <w:rPr>
                <w:color w:val="auto"/>
              </w:rPr>
              <w:t>采用“急冷+降膜吸收+水洗+碱洗</w:t>
            </w:r>
            <w:r>
              <w:rPr>
                <w:rFonts w:hint="eastAsia"/>
                <w:color w:val="auto"/>
                <w:lang w:val="en-US" w:eastAsia="zh-CN"/>
              </w:rPr>
              <w:t>+脱硝+活性炭吸附</w:t>
            </w:r>
            <w:r>
              <w:rPr>
                <w:color w:val="auto"/>
              </w:rPr>
              <w:t>”，</w:t>
            </w:r>
            <w:r>
              <w:rPr>
                <w:rFonts w:hint="eastAsia"/>
                <w:color w:val="auto"/>
              </w:rPr>
              <w:t>7</w:t>
            </w:r>
            <w:r>
              <w:rPr>
                <w:color w:val="auto"/>
              </w:rPr>
              <w:t>0m高排气筒</w:t>
            </w:r>
            <w:r>
              <w:rPr>
                <w:rFonts w:hint="eastAsia"/>
                <w:color w:val="auto"/>
              </w:rPr>
              <w:t>（DA007）</w:t>
            </w:r>
          </w:p>
        </w:tc>
      </w:tr>
      <w:tr w14:paraId="6F30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77" w:type="pct"/>
            <w:gridSpan w:val="2"/>
            <w:vMerge w:val="continue"/>
            <w:noWrap w:val="0"/>
            <w:vAlign w:val="center"/>
          </w:tcPr>
          <w:p w14:paraId="7D2975AB">
            <w:pPr>
              <w:pStyle w:val="45"/>
              <w:bidi w:val="0"/>
              <w:rPr>
                <w:color w:val="auto"/>
              </w:rPr>
            </w:pPr>
          </w:p>
        </w:tc>
        <w:tc>
          <w:tcPr>
            <w:tcW w:w="820" w:type="pct"/>
            <w:vMerge w:val="continue"/>
            <w:noWrap w:val="0"/>
            <w:vAlign w:val="center"/>
          </w:tcPr>
          <w:p w14:paraId="4D61ED9A">
            <w:pPr>
              <w:pStyle w:val="45"/>
              <w:bidi w:val="0"/>
              <w:rPr>
                <w:color w:val="auto"/>
              </w:rPr>
            </w:pPr>
          </w:p>
        </w:tc>
        <w:tc>
          <w:tcPr>
            <w:tcW w:w="1511" w:type="pct"/>
            <w:noWrap w:val="0"/>
            <w:vAlign w:val="center"/>
          </w:tcPr>
          <w:p w14:paraId="3EA55623">
            <w:pPr>
              <w:pStyle w:val="45"/>
              <w:bidi w:val="0"/>
              <w:rPr>
                <w:color w:val="auto"/>
              </w:rPr>
            </w:pPr>
            <w:r>
              <w:rPr>
                <w:rFonts w:hint="eastAsia"/>
                <w:color w:val="auto"/>
              </w:rPr>
              <w:t>HCl工艺废气</w:t>
            </w:r>
          </w:p>
        </w:tc>
        <w:tc>
          <w:tcPr>
            <w:tcW w:w="1691" w:type="pct"/>
            <w:noWrap w:val="0"/>
            <w:vAlign w:val="center"/>
          </w:tcPr>
          <w:p w14:paraId="11C6F291">
            <w:pPr>
              <w:pStyle w:val="45"/>
              <w:bidi w:val="0"/>
              <w:rPr>
                <w:color w:val="auto"/>
              </w:rPr>
            </w:pPr>
            <w:r>
              <w:rPr>
                <w:color w:val="auto"/>
              </w:rPr>
              <w:t xml:space="preserve"> “两级水洗+一级碱洗”装置，30m排气筒</w:t>
            </w:r>
            <w:r>
              <w:rPr>
                <w:rFonts w:hint="eastAsia"/>
                <w:color w:val="auto"/>
              </w:rPr>
              <w:t>（DA00</w:t>
            </w:r>
            <w:r>
              <w:rPr>
                <w:color w:val="auto"/>
              </w:rPr>
              <w:t>2</w:t>
            </w:r>
            <w:r>
              <w:rPr>
                <w:rFonts w:hint="eastAsia"/>
                <w:color w:val="auto"/>
              </w:rPr>
              <w:t>）</w:t>
            </w:r>
          </w:p>
        </w:tc>
      </w:tr>
      <w:tr w14:paraId="6F92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77" w:type="pct"/>
            <w:gridSpan w:val="2"/>
            <w:vMerge w:val="continue"/>
            <w:noWrap w:val="0"/>
            <w:vAlign w:val="center"/>
          </w:tcPr>
          <w:p w14:paraId="47813DA2">
            <w:pPr>
              <w:pStyle w:val="45"/>
              <w:bidi w:val="0"/>
              <w:rPr>
                <w:color w:val="auto"/>
              </w:rPr>
            </w:pPr>
          </w:p>
        </w:tc>
        <w:tc>
          <w:tcPr>
            <w:tcW w:w="820" w:type="pct"/>
            <w:vMerge w:val="continue"/>
            <w:noWrap w:val="0"/>
            <w:vAlign w:val="center"/>
          </w:tcPr>
          <w:p w14:paraId="40B2DE6F">
            <w:pPr>
              <w:pStyle w:val="45"/>
              <w:bidi w:val="0"/>
              <w:rPr>
                <w:color w:val="auto"/>
              </w:rPr>
            </w:pPr>
          </w:p>
        </w:tc>
        <w:tc>
          <w:tcPr>
            <w:tcW w:w="1511" w:type="pct"/>
            <w:noWrap w:val="0"/>
            <w:vAlign w:val="center"/>
          </w:tcPr>
          <w:p w14:paraId="0B562460">
            <w:pPr>
              <w:pStyle w:val="45"/>
              <w:bidi w:val="0"/>
              <w:rPr>
                <w:color w:val="auto"/>
              </w:rPr>
            </w:pPr>
            <w:r>
              <w:rPr>
                <w:rFonts w:hint="eastAsia"/>
                <w:color w:val="auto"/>
              </w:rPr>
              <w:t>Cl</w:t>
            </w:r>
            <w:r>
              <w:rPr>
                <w:color w:val="auto"/>
              </w:rPr>
              <w:t>2</w:t>
            </w:r>
            <w:r>
              <w:rPr>
                <w:rFonts w:hint="eastAsia"/>
                <w:color w:val="auto"/>
              </w:rPr>
              <w:t>工艺废气</w:t>
            </w:r>
          </w:p>
        </w:tc>
        <w:tc>
          <w:tcPr>
            <w:tcW w:w="1691" w:type="pct"/>
            <w:noWrap w:val="0"/>
            <w:vAlign w:val="center"/>
          </w:tcPr>
          <w:p w14:paraId="56F9DAD5">
            <w:pPr>
              <w:pStyle w:val="45"/>
              <w:bidi w:val="0"/>
              <w:rPr>
                <w:color w:val="auto"/>
              </w:rPr>
            </w:pPr>
            <w:r>
              <w:rPr>
                <w:color w:val="auto"/>
              </w:rPr>
              <w:t xml:space="preserve"> “两级碱洗”装置，30m排气筒</w:t>
            </w:r>
            <w:r>
              <w:rPr>
                <w:rFonts w:hint="eastAsia"/>
                <w:color w:val="auto"/>
              </w:rPr>
              <w:t>（DA00</w:t>
            </w:r>
            <w:r>
              <w:rPr>
                <w:color w:val="auto"/>
              </w:rPr>
              <w:t>5</w:t>
            </w:r>
            <w:r>
              <w:rPr>
                <w:rFonts w:hint="eastAsia"/>
                <w:color w:val="auto"/>
              </w:rPr>
              <w:t>）</w:t>
            </w:r>
          </w:p>
        </w:tc>
      </w:tr>
      <w:tr w14:paraId="375E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77" w:type="pct"/>
            <w:gridSpan w:val="2"/>
            <w:vMerge w:val="continue"/>
            <w:noWrap w:val="0"/>
            <w:vAlign w:val="center"/>
          </w:tcPr>
          <w:p w14:paraId="0FBC1E26">
            <w:pPr>
              <w:pStyle w:val="45"/>
              <w:bidi w:val="0"/>
              <w:rPr>
                <w:color w:val="auto"/>
              </w:rPr>
            </w:pPr>
          </w:p>
        </w:tc>
        <w:tc>
          <w:tcPr>
            <w:tcW w:w="820" w:type="pct"/>
            <w:vMerge w:val="continue"/>
            <w:noWrap w:val="0"/>
            <w:vAlign w:val="center"/>
          </w:tcPr>
          <w:p w14:paraId="793FF58E">
            <w:pPr>
              <w:pStyle w:val="45"/>
              <w:bidi w:val="0"/>
              <w:rPr>
                <w:color w:val="auto"/>
              </w:rPr>
            </w:pPr>
          </w:p>
        </w:tc>
        <w:tc>
          <w:tcPr>
            <w:tcW w:w="1511" w:type="pct"/>
            <w:noWrap w:val="0"/>
            <w:vAlign w:val="center"/>
          </w:tcPr>
          <w:p w14:paraId="47BAF6C4">
            <w:pPr>
              <w:pStyle w:val="45"/>
              <w:bidi w:val="0"/>
              <w:rPr>
                <w:color w:val="auto"/>
              </w:rPr>
            </w:pPr>
            <w:r>
              <w:rPr>
                <w:color w:val="auto"/>
              </w:rPr>
              <w:t>盐酸罐区废气</w:t>
            </w:r>
          </w:p>
        </w:tc>
        <w:tc>
          <w:tcPr>
            <w:tcW w:w="1691" w:type="pct"/>
            <w:noWrap w:val="0"/>
            <w:vAlign w:val="center"/>
          </w:tcPr>
          <w:p w14:paraId="7C25234C">
            <w:pPr>
              <w:pStyle w:val="45"/>
              <w:bidi w:val="0"/>
              <w:rPr>
                <w:color w:val="auto"/>
              </w:rPr>
            </w:pPr>
            <w:r>
              <w:rPr>
                <w:rFonts w:hint="eastAsia"/>
                <w:color w:val="auto"/>
              </w:rPr>
              <w:t>采用“一级水洗+一级碱洗”（两套）</w:t>
            </w:r>
            <w:r>
              <w:rPr>
                <w:color w:val="auto"/>
              </w:rPr>
              <w:t>，15m高排气筒</w:t>
            </w:r>
            <w:r>
              <w:rPr>
                <w:rFonts w:hint="eastAsia"/>
                <w:color w:val="auto"/>
              </w:rPr>
              <w:t>（DA0</w:t>
            </w:r>
            <w:r>
              <w:rPr>
                <w:color w:val="auto"/>
              </w:rPr>
              <w:t>08</w:t>
            </w:r>
            <w:r>
              <w:rPr>
                <w:rFonts w:hint="eastAsia"/>
                <w:color w:val="auto"/>
                <w:lang w:val="en-US" w:eastAsia="zh-CN"/>
              </w:rPr>
              <w:t>/DA010</w:t>
            </w:r>
            <w:r>
              <w:rPr>
                <w:rFonts w:hint="eastAsia"/>
                <w:color w:val="auto"/>
              </w:rPr>
              <w:t>）</w:t>
            </w:r>
          </w:p>
        </w:tc>
      </w:tr>
      <w:tr w14:paraId="31A5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77" w:type="pct"/>
            <w:gridSpan w:val="2"/>
            <w:vMerge w:val="continue"/>
            <w:noWrap w:val="0"/>
            <w:vAlign w:val="center"/>
          </w:tcPr>
          <w:p w14:paraId="6BD30110">
            <w:pPr>
              <w:pStyle w:val="45"/>
              <w:bidi w:val="0"/>
              <w:rPr>
                <w:color w:val="auto"/>
              </w:rPr>
            </w:pPr>
          </w:p>
        </w:tc>
        <w:tc>
          <w:tcPr>
            <w:tcW w:w="820" w:type="pct"/>
            <w:vMerge w:val="continue"/>
            <w:noWrap w:val="0"/>
            <w:vAlign w:val="center"/>
          </w:tcPr>
          <w:p w14:paraId="0E5DBF40">
            <w:pPr>
              <w:pStyle w:val="45"/>
              <w:bidi w:val="0"/>
              <w:rPr>
                <w:color w:val="auto"/>
              </w:rPr>
            </w:pPr>
          </w:p>
        </w:tc>
        <w:tc>
          <w:tcPr>
            <w:tcW w:w="1511" w:type="pct"/>
            <w:noWrap w:val="0"/>
            <w:vAlign w:val="center"/>
          </w:tcPr>
          <w:p w14:paraId="2E0194C2">
            <w:pPr>
              <w:pStyle w:val="45"/>
              <w:bidi w:val="0"/>
              <w:rPr>
                <w:color w:val="auto"/>
              </w:rPr>
            </w:pPr>
            <w:r>
              <w:rPr>
                <w:rFonts w:hint="eastAsia"/>
                <w:color w:val="auto"/>
              </w:rPr>
              <w:t>液氯仓库废气</w:t>
            </w:r>
          </w:p>
        </w:tc>
        <w:tc>
          <w:tcPr>
            <w:tcW w:w="1691" w:type="pct"/>
            <w:noWrap w:val="0"/>
            <w:vAlign w:val="center"/>
          </w:tcPr>
          <w:p w14:paraId="479A30C8">
            <w:pPr>
              <w:pStyle w:val="45"/>
              <w:bidi w:val="0"/>
              <w:rPr>
                <w:color w:val="auto"/>
              </w:rPr>
            </w:pPr>
            <w:r>
              <w:rPr>
                <w:color w:val="auto"/>
              </w:rPr>
              <w:t>碱洗</w:t>
            </w:r>
            <w:r>
              <w:rPr>
                <w:rFonts w:hint="eastAsia"/>
                <w:color w:val="auto"/>
              </w:rPr>
              <w:t>后依托</w:t>
            </w:r>
            <w:r>
              <w:rPr>
                <w:rFonts w:hint="eastAsia"/>
                <w:color w:val="auto"/>
                <w:lang w:val="en-US" w:eastAsia="zh-CN"/>
              </w:rPr>
              <w:t>30</w:t>
            </w:r>
            <w:r>
              <w:rPr>
                <w:color w:val="auto"/>
              </w:rPr>
              <w:t>m排气筒</w:t>
            </w:r>
            <w:r>
              <w:rPr>
                <w:rFonts w:hint="eastAsia"/>
                <w:color w:val="auto"/>
              </w:rPr>
              <w:t>（DA00</w:t>
            </w:r>
            <w:r>
              <w:rPr>
                <w:color w:val="auto"/>
              </w:rPr>
              <w:t>5</w:t>
            </w:r>
            <w:r>
              <w:rPr>
                <w:rFonts w:hint="eastAsia"/>
                <w:color w:val="auto"/>
              </w:rPr>
              <w:t>）</w:t>
            </w:r>
          </w:p>
        </w:tc>
      </w:tr>
      <w:tr w14:paraId="71AE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77" w:type="pct"/>
            <w:gridSpan w:val="2"/>
            <w:vMerge w:val="continue"/>
            <w:noWrap w:val="0"/>
            <w:vAlign w:val="center"/>
          </w:tcPr>
          <w:p w14:paraId="18A00654">
            <w:pPr>
              <w:pStyle w:val="45"/>
              <w:bidi w:val="0"/>
              <w:rPr>
                <w:color w:val="auto"/>
              </w:rPr>
            </w:pPr>
          </w:p>
        </w:tc>
        <w:tc>
          <w:tcPr>
            <w:tcW w:w="820" w:type="pct"/>
            <w:vMerge w:val="continue"/>
            <w:noWrap w:val="0"/>
            <w:vAlign w:val="center"/>
          </w:tcPr>
          <w:p w14:paraId="38B6FF48">
            <w:pPr>
              <w:pStyle w:val="45"/>
              <w:bidi w:val="0"/>
              <w:rPr>
                <w:color w:val="auto"/>
              </w:rPr>
            </w:pPr>
          </w:p>
        </w:tc>
        <w:tc>
          <w:tcPr>
            <w:tcW w:w="1511" w:type="pct"/>
            <w:noWrap w:val="0"/>
            <w:vAlign w:val="center"/>
          </w:tcPr>
          <w:p w14:paraId="0D5AFE73">
            <w:pPr>
              <w:pStyle w:val="45"/>
              <w:bidi w:val="0"/>
              <w:rPr>
                <w:color w:val="auto"/>
              </w:rPr>
            </w:pPr>
            <w:r>
              <w:rPr>
                <w:rFonts w:hint="eastAsia"/>
                <w:color w:val="auto"/>
              </w:rPr>
              <w:t>TFE</w:t>
            </w:r>
            <w:r>
              <w:rPr>
                <w:color w:val="auto"/>
              </w:rPr>
              <w:t>过热炉</w:t>
            </w:r>
          </w:p>
          <w:p w14:paraId="266FD1B1">
            <w:pPr>
              <w:pStyle w:val="45"/>
              <w:bidi w:val="0"/>
              <w:rPr>
                <w:color w:val="auto"/>
              </w:rPr>
            </w:pPr>
            <w:r>
              <w:rPr>
                <w:color w:val="auto"/>
              </w:rPr>
              <w:t>燃烧废气</w:t>
            </w:r>
          </w:p>
        </w:tc>
        <w:tc>
          <w:tcPr>
            <w:tcW w:w="1691" w:type="pct"/>
            <w:noWrap w:val="0"/>
            <w:vAlign w:val="center"/>
          </w:tcPr>
          <w:p w14:paraId="436FED7C">
            <w:pPr>
              <w:pStyle w:val="45"/>
              <w:bidi w:val="0"/>
              <w:rPr>
                <w:color w:val="auto"/>
              </w:rPr>
            </w:pPr>
            <w:r>
              <w:rPr>
                <w:color w:val="auto"/>
              </w:rPr>
              <w:t>38m高的排气筒排放</w:t>
            </w:r>
            <w:r>
              <w:rPr>
                <w:rFonts w:hint="eastAsia"/>
                <w:color w:val="auto"/>
              </w:rPr>
              <w:t>（DA0</w:t>
            </w:r>
            <w:r>
              <w:rPr>
                <w:color w:val="auto"/>
              </w:rPr>
              <w:t>1</w:t>
            </w:r>
            <w:r>
              <w:rPr>
                <w:rFonts w:hint="eastAsia"/>
                <w:color w:val="auto"/>
                <w:lang w:val="en-US" w:eastAsia="zh-CN"/>
              </w:rPr>
              <w:t>3</w:t>
            </w:r>
            <w:r>
              <w:rPr>
                <w:rFonts w:hint="eastAsia"/>
                <w:color w:val="auto"/>
              </w:rPr>
              <w:t>）</w:t>
            </w:r>
          </w:p>
        </w:tc>
      </w:tr>
      <w:tr w14:paraId="1B35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77" w:type="pct"/>
            <w:gridSpan w:val="2"/>
            <w:vMerge w:val="continue"/>
            <w:noWrap w:val="0"/>
            <w:vAlign w:val="center"/>
          </w:tcPr>
          <w:p w14:paraId="09D4DD95">
            <w:pPr>
              <w:pStyle w:val="45"/>
              <w:bidi w:val="0"/>
              <w:rPr>
                <w:color w:val="auto"/>
              </w:rPr>
            </w:pPr>
          </w:p>
        </w:tc>
        <w:tc>
          <w:tcPr>
            <w:tcW w:w="820" w:type="pct"/>
            <w:vMerge w:val="continue"/>
            <w:noWrap w:val="0"/>
            <w:vAlign w:val="center"/>
          </w:tcPr>
          <w:p w14:paraId="31EB749B">
            <w:pPr>
              <w:pStyle w:val="45"/>
              <w:bidi w:val="0"/>
              <w:rPr>
                <w:color w:val="auto"/>
              </w:rPr>
            </w:pPr>
          </w:p>
        </w:tc>
        <w:tc>
          <w:tcPr>
            <w:tcW w:w="1511" w:type="pct"/>
            <w:noWrap w:val="0"/>
            <w:vAlign w:val="center"/>
          </w:tcPr>
          <w:p w14:paraId="26472CD9">
            <w:pPr>
              <w:pStyle w:val="45"/>
              <w:bidi w:val="0"/>
              <w:rPr>
                <w:color w:val="auto"/>
              </w:rPr>
            </w:pPr>
            <w:r>
              <w:rPr>
                <w:rFonts w:hint="eastAsia"/>
                <w:color w:val="auto"/>
              </w:rPr>
              <w:t>TFE盐酸罐区废气</w:t>
            </w:r>
          </w:p>
        </w:tc>
        <w:tc>
          <w:tcPr>
            <w:tcW w:w="1691" w:type="pct"/>
            <w:noWrap w:val="0"/>
            <w:vAlign w:val="center"/>
          </w:tcPr>
          <w:p w14:paraId="46B7A238">
            <w:pPr>
              <w:pStyle w:val="45"/>
              <w:bidi w:val="0"/>
              <w:rPr>
                <w:color w:val="auto"/>
              </w:rPr>
            </w:pPr>
            <w:r>
              <w:rPr>
                <w:rFonts w:hint="eastAsia"/>
                <w:color w:val="auto"/>
              </w:rPr>
              <w:t>采用“一级水洗+一级碱洗”</w:t>
            </w:r>
            <w:r>
              <w:rPr>
                <w:color w:val="auto"/>
              </w:rPr>
              <w:t>，15m高排气筒</w:t>
            </w:r>
            <w:r>
              <w:rPr>
                <w:rFonts w:hint="eastAsia"/>
                <w:color w:val="auto"/>
              </w:rPr>
              <w:t>（DA0</w:t>
            </w:r>
            <w:r>
              <w:rPr>
                <w:color w:val="auto"/>
              </w:rPr>
              <w:t>09</w:t>
            </w:r>
            <w:r>
              <w:rPr>
                <w:rFonts w:hint="eastAsia"/>
                <w:color w:val="auto"/>
              </w:rPr>
              <w:t>）</w:t>
            </w:r>
          </w:p>
        </w:tc>
      </w:tr>
      <w:tr w14:paraId="7305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77" w:type="pct"/>
            <w:gridSpan w:val="2"/>
            <w:vMerge w:val="continue"/>
            <w:noWrap w:val="0"/>
            <w:vAlign w:val="center"/>
          </w:tcPr>
          <w:p w14:paraId="1ECF8924">
            <w:pPr>
              <w:pStyle w:val="45"/>
              <w:bidi w:val="0"/>
              <w:rPr>
                <w:color w:val="auto"/>
              </w:rPr>
            </w:pPr>
          </w:p>
        </w:tc>
        <w:tc>
          <w:tcPr>
            <w:tcW w:w="820" w:type="pct"/>
            <w:vMerge w:val="continue"/>
            <w:noWrap w:val="0"/>
            <w:vAlign w:val="center"/>
          </w:tcPr>
          <w:p w14:paraId="695BCAF2">
            <w:pPr>
              <w:pStyle w:val="45"/>
              <w:bidi w:val="0"/>
              <w:rPr>
                <w:color w:val="auto"/>
              </w:rPr>
            </w:pPr>
          </w:p>
        </w:tc>
        <w:tc>
          <w:tcPr>
            <w:tcW w:w="1511" w:type="pct"/>
            <w:noWrap w:val="0"/>
            <w:vAlign w:val="center"/>
          </w:tcPr>
          <w:p w14:paraId="09F809ED">
            <w:pPr>
              <w:pStyle w:val="45"/>
              <w:bidi w:val="0"/>
              <w:rPr>
                <w:color w:val="auto"/>
              </w:rPr>
            </w:pPr>
            <w:r>
              <w:rPr>
                <w:rFonts w:hint="eastAsia"/>
                <w:color w:val="auto"/>
              </w:rPr>
              <w:t>危废仓库废气</w:t>
            </w:r>
          </w:p>
        </w:tc>
        <w:tc>
          <w:tcPr>
            <w:tcW w:w="1691" w:type="pct"/>
            <w:noWrap w:val="0"/>
            <w:vAlign w:val="center"/>
          </w:tcPr>
          <w:p w14:paraId="237592FD">
            <w:pPr>
              <w:pStyle w:val="45"/>
              <w:bidi w:val="0"/>
              <w:rPr>
                <w:color w:val="auto"/>
              </w:rPr>
            </w:pPr>
            <w:r>
              <w:rPr>
                <w:rFonts w:hint="eastAsia"/>
                <w:color w:val="auto"/>
              </w:rPr>
              <w:t>活性炭吸附，1</w:t>
            </w:r>
            <w:r>
              <w:rPr>
                <w:color w:val="auto"/>
              </w:rPr>
              <w:t>5</w:t>
            </w:r>
            <w:r>
              <w:rPr>
                <w:rFonts w:hint="eastAsia"/>
                <w:color w:val="auto"/>
              </w:rPr>
              <w:t>m排气筒排放（DA</w:t>
            </w:r>
            <w:r>
              <w:rPr>
                <w:color w:val="auto"/>
              </w:rPr>
              <w:t>01</w:t>
            </w:r>
            <w:r>
              <w:rPr>
                <w:rFonts w:hint="eastAsia"/>
                <w:color w:val="auto"/>
                <w:lang w:val="en-US" w:eastAsia="zh-CN"/>
              </w:rPr>
              <w:t>1</w:t>
            </w:r>
            <w:r>
              <w:rPr>
                <w:rFonts w:hint="eastAsia"/>
                <w:color w:val="auto"/>
              </w:rPr>
              <w:t>）</w:t>
            </w:r>
          </w:p>
        </w:tc>
      </w:tr>
      <w:tr w14:paraId="5DA2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7" w:type="pct"/>
            <w:gridSpan w:val="2"/>
            <w:vMerge w:val="continue"/>
            <w:noWrap w:val="0"/>
            <w:vAlign w:val="center"/>
          </w:tcPr>
          <w:p w14:paraId="4861AA45">
            <w:pPr>
              <w:pStyle w:val="45"/>
              <w:bidi w:val="0"/>
              <w:rPr>
                <w:color w:val="auto"/>
              </w:rPr>
            </w:pPr>
          </w:p>
        </w:tc>
        <w:tc>
          <w:tcPr>
            <w:tcW w:w="820" w:type="pct"/>
            <w:vMerge w:val="restart"/>
            <w:noWrap w:val="0"/>
            <w:vAlign w:val="center"/>
          </w:tcPr>
          <w:p w14:paraId="07153EB9">
            <w:pPr>
              <w:pStyle w:val="45"/>
              <w:bidi w:val="0"/>
              <w:rPr>
                <w:color w:val="auto"/>
              </w:rPr>
            </w:pPr>
            <w:r>
              <w:rPr>
                <w:color w:val="auto"/>
              </w:rPr>
              <w:t>固废处理</w:t>
            </w:r>
          </w:p>
        </w:tc>
        <w:tc>
          <w:tcPr>
            <w:tcW w:w="1511" w:type="pct"/>
            <w:noWrap w:val="0"/>
            <w:vAlign w:val="center"/>
          </w:tcPr>
          <w:p w14:paraId="522AEE1E">
            <w:pPr>
              <w:pStyle w:val="45"/>
              <w:bidi w:val="0"/>
              <w:rPr>
                <w:color w:val="auto"/>
              </w:rPr>
            </w:pPr>
            <w:r>
              <w:rPr>
                <w:color w:val="auto"/>
              </w:rPr>
              <w:t>固废堆场</w:t>
            </w:r>
          </w:p>
        </w:tc>
        <w:tc>
          <w:tcPr>
            <w:tcW w:w="1691" w:type="pct"/>
            <w:noWrap w:val="0"/>
            <w:vAlign w:val="center"/>
          </w:tcPr>
          <w:p w14:paraId="24409505">
            <w:pPr>
              <w:pStyle w:val="45"/>
              <w:bidi w:val="0"/>
              <w:rPr>
                <w:color w:val="auto"/>
              </w:rPr>
            </w:pPr>
            <w:r>
              <w:rPr>
                <w:color w:val="auto"/>
              </w:rPr>
              <w:t>已建成</w:t>
            </w:r>
          </w:p>
        </w:tc>
      </w:tr>
      <w:tr w14:paraId="12F7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7" w:type="pct"/>
            <w:gridSpan w:val="2"/>
            <w:vMerge w:val="continue"/>
            <w:noWrap w:val="0"/>
            <w:vAlign w:val="center"/>
          </w:tcPr>
          <w:p w14:paraId="495F788B">
            <w:pPr>
              <w:pStyle w:val="45"/>
              <w:bidi w:val="0"/>
              <w:rPr>
                <w:color w:val="auto"/>
              </w:rPr>
            </w:pPr>
          </w:p>
        </w:tc>
        <w:tc>
          <w:tcPr>
            <w:tcW w:w="820" w:type="pct"/>
            <w:vMerge w:val="continue"/>
            <w:noWrap w:val="0"/>
            <w:vAlign w:val="center"/>
          </w:tcPr>
          <w:p w14:paraId="4997644C">
            <w:pPr>
              <w:pStyle w:val="45"/>
              <w:bidi w:val="0"/>
              <w:rPr>
                <w:color w:val="auto"/>
              </w:rPr>
            </w:pPr>
          </w:p>
        </w:tc>
        <w:tc>
          <w:tcPr>
            <w:tcW w:w="1511" w:type="pct"/>
            <w:noWrap w:val="0"/>
            <w:vAlign w:val="center"/>
          </w:tcPr>
          <w:p w14:paraId="265C6C7C">
            <w:pPr>
              <w:pStyle w:val="45"/>
              <w:bidi w:val="0"/>
              <w:rPr>
                <w:color w:val="auto"/>
              </w:rPr>
            </w:pPr>
            <w:r>
              <w:rPr>
                <w:color w:val="auto"/>
              </w:rPr>
              <w:t>危废</w:t>
            </w:r>
            <w:r>
              <w:rPr>
                <w:rFonts w:hint="eastAsia"/>
                <w:color w:val="auto"/>
              </w:rPr>
              <w:t>贮存场所</w:t>
            </w:r>
          </w:p>
        </w:tc>
        <w:tc>
          <w:tcPr>
            <w:tcW w:w="1691" w:type="pct"/>
            <w:noWrap w:val="0"/>
            <w:vAlign w:val="center"/>
          </w:tcPr>
          <w:p w14:paraId="36BD8693">
            <w:pPr>
              <w:pStyle w:val="45"/>
              <w:bidi w:val="0"/>
              <w:rPr>
                <w:rFonts w:hint="default"/>
                <w:color w:val="auto"/>
                <w:lang w:val="en-US" w:eastAsia="zh-CN"/>
              </w:rPr>
            </w:pPr>
            <w:r>
              <w:rPr>
                <w:rFonts w:hint="eastAsia"/>
                <w:color w:val="auto"/>
                <w:lang w:val="en-US" w:eastAsia="zh-CN"/>
              </w:rPr>
              <w:t>513m2危废仓库1个。30m3危废储罐1个（F141b车间，本次拆除）</w:t>
            </w:r>
          </w:p>
        </w:tc>
      </w:tr>
      <w:tr w14:paraId="400D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977" w:type="pct"/>
            <w:gridSpan w:val="2"/>
            <w:vMerge w:val="continue"/>
            <w:noWrap w:val="0"/>
            <w:vAlign w:val="center"/>
          </w:tcPr>
          <w:p w14:paraId="1BE5D158">
            <w:pPr>
              <w:pStyle w:val="45"/>
              <w:bidi w:val="0"/>
              <w:rPr>
                <w:color w:val="auto"/>
              </w:rPr>
            </w:pPr>
          </w:p>
        </w:tc>
        <w:tc>
          <w:tcPr>
            <w:tcW w:w="820" w:type="pct"/>
            <w:noWrap w:val="0"/>
            <w:vAlign w:val="center"/>
          </w:tcPr>
          <w:p w14:paraId="6DFC528F">
            <w:pPr>
              <w:pStyle w:val="45"/>
              <w:bidi w:val="0"/>
              <w:rPr>
                <w:color w:val="auto"/>
              </w:rPr>
            </w:pPr>
            <w:r>
              <w:rPr>
                <w:color w:val="auto"/>
              </w:rPr>
              <w:t>噪声处理</w:t>
            </w:r>
          </w:p>
        </w:tc>
        <w:tc>
          <w:tcPr>
            <w:tcW w:w="1511" w:type="pct"/>
            <w:noWrap w:val="0"/>
            <w:vAlign w:val="center"/>
          </w:tcPr>
          <w:p w14:paraId="4872D7A0">
            <w:pPr>
              <w:pStyle w:val="45"/>
              <w:bidi w:val="0"/>
              <w:rPr>
                <w:color w:val="auto"/>
              </w:rPr>
            </w:pPr>
            <w:r>
              <w:rPr>
                <w:color w:val="auto"/>
              </w:rPr>
              <w:t>/</w:t>
            </w:r>
          </w:p>
        </w:tc>
        <w:tc>
          <w:tcPr>
            <w:tcW w:w="1691" w:type="pct"/>
            <w:noWrap w:val="0"/>
            <w:vAlign w:val="center"/>
          </w:tcPr>
          <w:p w14:paraId="0B3D5FC1">
            <w:pPr>
              <w:pStyle w:val="45"/>
              <w:bidi w:val="0"/>
              <w:rPr>
                <w:color w:val="auto"/>
              </w:rPr>
            </w:pPr>
            <w:r>
              <w:rPr>
                <w:color w:val="auto"/>
              </w:rPr>
              <w:t>各种隔声降噪措施</w:t>
            </w:r>
          </w:p>
        </w:tc>
      </w:tr>
    </w:tbl>
    <w:p w14:paraId="76A4A012">
      <w:pPr>
        <w:pStyle w:val="46"/>
        <w:bidi w:val="0"/>
        <w:rPr>
          <w:color w:val="auto"/>
          <w:lang w:val="zh-CN"/>
        </w:rPr>
      </w:pPr>
      <w:r>
        <w:rPr>
          <w:color w:val="auto"/>
        </w:rPr>
        <w:t>表</w:t>
      </w:r>
      <w:r>
        <w:rPr>
          <w:rFonts w:hint="eastAsia"/>
          <w:color w:val="auto"/>
          <w:lang w:val="en-US" w:eastAsia="zh-CN"/>
        </w:rPr>
        <w:t xml:space="preserve"> 1.1-3 </w:t>
      </w:r>
      <w:r>
        <w:rPr>
          <w:color w:val="auto"/>
        </w:rPr>
        <w:t>厂区仓库情况一览表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26"/>
        <w:gridCol w:w="1224"/>
        <w:gridCol w:w="2104"/>
        <w:gridCol w:w="1400"/>
        <w:gridCol w:w="826"/>
        <w:gridCol w:w="827"/>
        <w:gridCol w:w="1152"/>
      </w:tblGrid>
      <w:tr w14:paraId="47E4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94" w:type="pct"/>
            <w:noWrap w:val="0"/>
            <w:vAlign w:val="center"/>
          </w:tcPr>
          <w:p w14:paraId="1FFE1D59">
            <w:pPr>
              <w:pStyle w:val="45"/>
              <w:bidi w:val="0"/>
              <w:rPr>
                <w:color w:val="auto"/>
              </w:rPr>
            </w:pPr>
            <w:r>
              <w:rPr>
                <w:color w:val="auto"/>
              </w:rPr>
              <w:t>序号</w:t>
            </w:r>
          </w:p>
        </w:tc>
        <w:tc>
          <w:tcPr>
            <w:tcW w:w="732" w:type="pct"/>
            <w:noWrap w:val="0"/>
            <w:vAlign w:val="center"/>
          </w:tcPr>
          <w:p w14:paraId="23F3DCEC">
            <w:pPr>
              <w:pStyle w:val="45"/>
              <w:bidi w:val="0"/>
              <w:rPr>
                <w:color w:val="auto"/>
              </w:rPr>
            </w:pPr>
            <w:r>
              <w:rPr>
                <w:color w:val="auto"/>
              </w:rPr>
              <w:t>仓库名称</w:t>
            </w:r>
          </w:p>
        </w:tc>
        <w:tc>
          <w:tcPr>
            <w:tcW w:w="1258" w:type="pct"/>
            <w:noWrap w:val="0"/>
            <w:vAlign w:val="center"/>
          </w:tcPr>
          <w:p w14:paraId="17E34012">
            <w:pPr>
              <w:pStyle w:val="45"/>
              <w:bidi w:val="0"/>
              <w:rPr>
                <w:color w:val="auto"/>
              </w:rPr>
            </w:pPr>
            <w:r>
              <w:rPr>
                <w:color w:val="auto"/>
              </w:rPr>
              <w:t>占地面积m2</w:t>
            </w:r>
          </w:p>
        </w:tc>
        <w:tc>
          <w:tcPr>
            <w:tcW w:w="837" w:type="pct"/>
            <w:noWrap w:val="0"/>
            <w:vAlign w:val="center"/>
          </w:tcPr>
          <w:p w14:paraId="34541297">
            <w:pPr>
              <w:pStyle w:val="45"/>
              <w:bidi w:val="0"/>
              <w:rPr>
                <w:color w:val="auto"/>
              </w:rPr>
            </w:pPr>
            <w:r>
              <w:rPr>
                <w:color w:val="auto"/>
              </w:rPr>
              <w:t>存放物料</w:t>
            </w:r>
          </w:p>
        </w:tc>
        <w:tc>
          <w:tcPr>
            <w:tcW w:w="494" w:type="pct"/>
            <w:noWrap w:val="0"/>
            <w:vAlign w:val="center"/>
          </w:tcPr>
          <w:p w14:paraId="14143F16">
            <w:pPr>
              <w:pStyle w:val="45"/>
              <w:bidi w:val="0"/>
              <w:rPr>
                <w:color w:val="auto"/>
              </w:rPr>
            </w:pPr>
            <w:r>
              <w:rPr>
                <w:color w:val="auto"/>
              </w:rPr>
              <w:t>包装形式</w:t>
            </w:r>
          </w:p>
        </w:tc>
        <w:tc>
          <w:tcPr>
            <w:tcW w:w="494" w:type="pct"/>
            <w:noWrap w:val="0"/>
            <w:vAlign w:val="center"/>
          </w:tcPr>
          <w:p w14:paraId="045F8C48">
            <w:pPr>
              <w:pStyle w:val="45"/>
              <w:bidi w:val="0"/>
              <w:rPr>
                <w:color w:val="auto"/>
              </w:rPr>
            </w:pPr>
            <w:r>
              <w:rPr>
                <w:rFonts w:hint="eastAsia"/>
                <w:color w:val="auto"/>
              </w:rPr>
              <w:t>火灾</w:t>
            </w:r>
          </w:p>
          <w:p w14:paraId="6BBF70E1">
            <w:pPr>
              <w:pStyle w:val="45"/>
              <w:bidi w:val="0"/>
              <w:rPr>
                <w:color w:val="auto"/>
              </w:rPr>
            </w:pPr>
            <w:r>
              <w:rPr>
                <w:rFonts w:hint="eastAsia"/>
                <w:color w:val="auto"/>
              </w:rPr>
              <w:t>类别</w:t>
            </w:r>
          </w:p>
        </w:tc>
        <w:tc>
          <w:tcPr>
            <w:tcW w:w="688" w:type="pct"/>
            <w:noWrap w:val="0"/>
            <w:vAlign w:val="center"/>
          </w:tcPr>
          <w:p w14:paraId="25B1B9FE">
            <w:pPr>
              <w:pStyle w:val="45"/>
              <w:bidi w:val="0"/>
              <w:rPr>
                <w:color w:val="auto"/>
              </w:rPr>
            </w:pPr>
            <w:r>
              <w:rPr>
                <w:color w:val="auto"/>
              </w:rPr>
              <w:t>位置</w:t>
            </w:r>
          </w:p>
        </w:tc>
      </w:tr>
      <w:tr w14:paraId="42DA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494" w:type="pct"/>
            <w:noWrap w:val="0"/>
            <w:vAlign w:val="center"/>
          </w:tcPr>
          <w:p w14:paraId="59E3A8C0">
            <w:pPr>
              <w:pStyle w:val="45"/>
              <w:bidi w:val="0"/>
              <w:rPr>
                <w:color w:val="auto"/>
              </w:rPr>
            </w:pPr>
            <w:r>
              <w:rPr>
                <w:color w:val="auto"/>
              </w:rPr>
              <w:t>1</w:t>
            </w:r>
          </w:p>
        </w:tc>
        <w:tc>
          <w:tcPr>
            <w:tcW w:w="732" w:type="pct"/>
            <w:noWrap w:val="0"/>
            <w:vAlign w:val="center"/>
          </w:tcPr>
          <w:p w14:paraId="3BB52B9C">
            <w:pPr>
              <w:pStyle w:val="45"/>
              <w:bidi w:val="0"/>
              <w:rPr>
                <w:color w:val="auto"/>
              </w:rPr>
            </w:pPr>
            <w:r>
              <w:rPr>
                <w:color w:val="auto"/>
              </w:rPr>
              <w:t>萤石粉仓库</w:t>
            </w:r>
          </w:p>
        </w:tc>
        <w:tc>
          <w:tcPr>
            <w:tcW w:w="1258" w:type="pct"/>
            <w:noWrap w:val="0"/>
            <w:vAlign w:val="center"/>
          </w:tcPr>
          <w:p w14:paraId="1D59A29F">
            <w:pPr>
              <w:pStyle w:val="45"/>
              <w:bidi w:val="0"/>
              <w:rPr>
                <w:color w:val="auto"/>
              </w:rPr>
            </w:pPr>
            <w:r>
              <w:rPr>
                <w:rFonts w:hint="eastAsia"/>
                <w:color w:val="auto"/>
                <w:lang w:val="en-US" w:eastAsia="zh-CN"/>
              </w:rPr>
              <w:t>4769.84</w:t>
            </w:r>
            <w:r>
              <w:rPr>
                <w:color w:val="auto"/>
              </w:rPr>
              <w:t>（1</w:t>
            </w:r>
            <w:r>
              <w:rPr>
                <w:rFonts w:hint="eastAsia"/>
                <w:color w:val="auto"/>
                <w:lang w:val="en-US" w:eastAsia="zh-CN"/>
              </w:rPr>
              <w:t>03.7</w:t>
            </w:r>
            <w:r>
              <w:rPr>
                <w:color w:val="auto"/>
              </w:rPr>
              <w:t>x46）</w:t>
            </w:r>
          </w:p>
        </w:tc>
        <w:tc>
          <w:tcPr>
            <w:tcW w:w="837" w:type="pct"/>
            <w:noWrap w:val="0"/>
            <w:vAlign w:val="center"/>
          </w:tcPr>
          <w:p w14:paraId="463D9C1A">
            <w:pPr>
              <w:pStyle w:val="45"/>
              <w:bidi w:val="0"/>
              <w:rPr>
                <w:color w:val="auto"/>
              </w:rPr>
            </w:pPr>
            <w:r>
              <w:rPr>
                <w:color w:val="auto"/>
              </w:rPr>
              <w:t>氟石粉</w:t>
            </w:r>
          </w:p>
        </w:tc>
        <w:tc>
          <w:tcPr>
            <w:tcW w:w="494" w:type="pct"/>
            <w:noWrap w:val="0"/>
            <w:vAlign w:val="center"/>
          </w:tcPr>
          <w:p w14:paraId="3A9F95E6">
            <w:pPr>
              <w:pStyle w:val="45"/>
              <w:bidi w:val="0"/>
              <w:rPr>
                <w:color w:val="auto"/>
              </w:rPr>
            </w:pPr>
            <w:r>
              <w:rPr>
                <w:color w:val="auto"/>
              </w:rPr>
              <w:t>袋装</w:t>
            </w:r>
          </w:p>
        </w:tc>
        <w:tc>
          <w:tcPr>
            <w:tcW w:w="494" w:type="pct"/>
            <w:noWrap w:val="0"/>
            <w:vAlign w:val="center"/>
          </w:tcPr>
          <w:p w14:paraId="3D8B7C9E">
            <w:pPr>
              <w:pStyle w:val="45"/>
              <w:bidi w:val="0"/>
              <w:rPr>
                <w:color w:val="auto"/>
              </w:rPr>
            </w:pPr>
            <w:r>
              <w:rPr>
                <w:rFonts w:hint="eastAsia"/>
                <w:color w:val="auto"/>
              </w:rPr>
              <w:t>戊类</w:t>
            </w:r>
          </w:p>
        </w:tc>
        <w:tc>
          <w:tcPr>
            <w:tcW w:w="688" w:type="pct"/>
            <w:noWrap w:val="0"/>
            <w:vAlign w:val="center"/>
          </w:tcPr>
          <w:p w14:paraId="5EE46DFE">
            <w:pPr>
              <w:pStyle w:val="45"/>
              <w:bidi w:val="0"/>
              <w:rPr>
                <w:color w:val="auto"/>
              </w:rPr>
            </w:pPr>
            <w:r>
              <w:rPr>
                <w:color w:val="auto"/>
              </w:rPr>
              <w:t>AHF车间</w:t>
            </w:r>
            <w:r>
              <w:rPr>
                <w:rFonts w:hint="eastAsia"/>
                <w:color w:val="auto"/>
              </w:rPr>
              <w:t>西北</w:t>
            </w:r>
          </w:p>
        </w:tc>
      </w:tr>
      <w:tr w14:paraId="66BC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494" w:type="pct"/>
            <w:noWrap w:val="0"/>
            <w:vAlign w:val="center"/>
          </w:tcPr>
          <w:p w14:paraId="2655CBB0">
            <w:pPr>
              <w:pStyle w:val="45"/>
              <w:bidi w:val="0"/>
              <w:rPr>
                <w:color w:val="auto"/>
              </w:rPr>
            </w:pPr>
            <w:r>
              <w:rPr>
                <w:color w:val="auto"/>
              </w:rPr>
              <w:t>2</w:t>
            </w:r>
          </w:p>
        </w:tc>
        <w:tc>
          <w:tcPr>
            <w:tcW w:w="732" w:type="pct"/>
            <w:noWrap w:val="0"/>
            <w:vAlign w:val="center"/>
          </w:tcPr>
          <w:p w14:paraId="428D96C4">
            <w:pPr>
              <w:pStyle w:val="45"/>
              <w:bidi w:val="0"/>
              <w:rPr>
                <w:color w:val="auto"/>
              </w:rPr>
            </w:pPr>
            <w:r>
              <w:rPr>
                <w:rFonts w:hint="eastAsia"/>
                <w:color w:val="auto"/>
              </w:rPr>
              <w:t>生产辅房三</w:t>
            </w:r>
          </w:p>
          <w:p w14:paraId="30959A51">
            <w:pPr>
              <w:pStyle w:val="45"/>
              <w:bidi w:val="0"/>
              <w:rPr>
                <w:color w:val="auto"/>
              </w:rPr>
            </w:pPr>
            <w:r>
              <w:rPr>
                <w:rFonts w:hint="eastAsia"/>
                <w:color w:val="auto"/>
              </w:rPr>
              <w:t>（液氯</w:t>
            </w:r>
            <w:r>
              <w:rPr>
                <w:rFonts w:hint="eastAsia"/>
                <w:color w:val="auto"/>
                <w:lang w:val="en-US" w:eastAsia="zh-CN"/>
              </w:rPr>
              <w:t>仓库</w:t>
            </w:r>
            <w:r>
              <w:rPr>
                <w:rFonts w:hint="eastAsia"/>
                <w:color w:val="auto"/>
              </w:rPr>
              <w:t>）</w:t>
            </w:r>
          </w:p>
        </w:tc>
        <w:tc>
          <w:tcPr>
            <w:tcW w:w="1258" w:type="pct"/>
            <w:noWrap w:val="0"/>
            <w:vAlign w:val="center"/>
          </w:tcPr>
          <w:p w14:paraId="16517C53">
            <w:pPr>
              <w:pStyle w:val="45"/>
              <w:bidi w:val="0"/>
              <w:rPr>
                <w:color w:val="auto"/>
              </w:rPr>
            </w:pPr>
            <w:r>
              <w:rPr>
                <w:color w:val="auto"/>
              </w:rPr>
              <w:t>274</w:t>
            </w:r>
          </w:p>
          <w:p w14:paraId="4DC61EC6">
            <w:pPr>
              <w:pStyle w:val="45"/>
              <w:bidi w:val="0"/>
              <w:rPr>
                <w:color w:val="auto"/>
              </w:rPr>
            </w:pPr>
            <w:r>
              <w:rPr>
                <w:color w:val="auto"/>
              </w:rPr>
              <w:t>（18x15.2）</w:t>
            </w:r>
          </w:p>
        </w:tc>
        <w:tc>
          <w:tcPr>
            <w:tcW w:w="837" w:type="pct"/>
            <w:noWrap w:val="0"/>
            <w:vAlign w:val="center"/>
          </w:tcPr>
          <w:p w14:paraId="3C1F7683">
            <w:pPr>
              <w:pStyle w:val="45"/>
              <w:bidi w:val="0"/>
              <w:rPr>
                <w:color w:val="auto"/>
              </w:rPr>
            </w:pPr>
            <w:r>
              <w:rPr>
                <w:color w:val="auto"/>
              </w:rPr>
              <w:t>液氯</w:t>
            </w:r>
          </w:p>
        </w:tc>
        <w:tc>
          <w:tcPr>
            <w:tcW w:w="494" w:type="pct"/>
            <w:noWrap w:val="0"/>
            <w:vAlign w:val="center"/>
          </w:tcPr>
          <w:p w14:paraId="2BD784A8">
            <w:pPr>
              <w:pStyle w:val="45"/>
              <w:bidi w:val="0"/>
              <w:rPr>
                <w:color w:val="auto"/>
              </w:rPr>
            </w:pPr>
            <w:r>
              <w:rPr>
                <w:color w:val="auto"/>
              </w:rPr>
              <w:t>移动式tank罐</w:t>
            </w:r>
          </w:p>
        </w:tc>
        <w:tc>
          <w:tcPr>
            <w:tcW w:w="494" w:type="pct"/>
            <w:noWrap w:val="0"/>
            <w:vAlign w:val="center"/>
          </w:tcPr>
          <w:p w14:paraId="5B1E807A">
            <w:pPr>
              <w:pStyle w:val="45"/>
              <w:bidi w:val="0"/>
              <w:rPr>
                <w:color w:val="auto"/>
              </w:rPr>
            </w:pPr>
            <w:r>
              <w:rPr>
                <w:rFonts w:hint="eastAsia"/>
                <w:color w:val="auto"/>
              </w:rPr>
              <w:t>乙类</w:t>
            </w:r>
          </w:p>
        </w:tc>
        <w:tc>
          <w:tcPr>
            <w:tcW w:w="688" w:type="pct"/>
            <w:noWrap w:val="0"/>
            <w:vAlign w:val="center"/>
          </w:tcPr>
          <w:p w14:paraId="32BAB578">
            <w:pPr>
              <w:pStyle w:val="45"/>
              <w:bidi w:val="0"/>
              <w:rPr>
                <w:color w:val="auto"/>
              </w:rPr>
            </w:pPr>
            <w:r>
              <w:rPr>
                <w:color w:val="auto"/>
              </w:rPr>
              <w:t>液氯仓库</w:t>
            </w:r>
            <w:r>
              <w:rPr>
                <w:rFonts w:hint="eastAsia"/>
                <w:color w:val="auto"/>
              </w:rPr>
              <w:t>东北</w:t>
            </w:r>
          </w:p>
        </w:tc>
      </w:tr>
      <w:tr w14:paraId="7137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494" w:type="pct"/>
            <w:noWrap w:val="0"/>
            <w:vAlign w:val="center"/>
          </w:tcPr>
          <w:p w14:paraId="07CC7686">
            <w:pPr>
              <w:pStyle w:val="45"/>
              <w:bidi w:val="0"/>
              <w:rPr>
                <w:color w:val="auto"/>
              </w:rPr>
            </w:pPr>
            <w:r>
              <w:rPr>
                <w:color w:val="auto"/>
              </w:rPr>
              <w:t>3</w:t>
            </w:r>
          </w:p>
        </w:tc>
        <w:tc>
          <w:tcPr>
            <w:tcW w:w="732" w:type="pct"/>
            <w:noWrap w:val="0"/>
            <w:vAlign w:val="center"/>
          </w:tcPr>
          <w:p w14:paraId="66F3EFB9">
            <w:pPr>
              <w:pStyle w:val="45"/>
              <w:bidi w:val="0"/>
              <w:rPr>
                <w:color w:val="auto"/>
              </w:rPr>
            </w:pPr>
            <w:r>
              <w:rPr>
                <w:color w:val="auto"/>
              </w:rPr>
              <w:t>液氯仓库</w:t>
            </w:r>
          </w:p>
        </w:tc>
        <w:tc>
          <w:tcPr>
            <w:tcW w:w="1258" w:type="pct"/>
            <w:noWrap w:val="0"/>
            <w:vAlign w:val="center"/>
          </w:tcPr>
          <w:p w14:paraId="3B8491EB">
            <w:pPr>
              <w:pStyle w:val="45"/>
              <w:bidi w:val="0"/>
              <w:rPr>
                <w:color w:val="auto"/>
              </w:rPr>
            </w:pPr>
            <w:r>
              <w:rPr>
                <w:rFonts w:hint="eastAsia"/>
                <w:color w:val="auto"/>
              </w:rPr>
              <w:t>5</w:t>
            </w:r>
            <w:r>
              <w:rPr>
                <w:color w:val="auto"/>
              </w:rPr>
              <w:t>56</w:t>
            </w:r>
          </w:p>
          <w:p w14:paraId="23166070">
            <w:pPr>
              <w:pStyle w:val="45"/>
              <w:bidi w:val="0"/>
              <w:rPr>
                <w:color w:val="auto"/>
              </w:rPr>
            </w:pPr>
            <w:r>
              <w:rPr>
                <w:color w:val="auto"/>
              </w:rPr>
              <w:t>（36.9x15.1）</w:t>
            </w:r>
          </w:p>
        </w:tc>
        <w:tc>
          <w:tcPr>
            <w:tcW w:w="837" w:type="pct"/>
            <w:noWrap w:val="0"/>
            <w:vAlign w:val="center"/>
          </w:tcPr>
          <w:p w14:paraId="71A5A646">
            <w:pPr>
              <w:pStyle w:val="45"/>
              <w:bidi w:val="0"/>
              <w:rPr>
                <w:color w:val="auto"/>
              </w:rPr>
            </w:pPr>
            <w:r>
              <w:rPr>
                <w:color w:val="auto"/>
              </w:rPr>
              <w:t>液氯</w:t>
            </w:r>
          </w:p>
        </w:tc>
        <w:tc>
          <w:tcPr>
            <w:tcW w:w="494" w:type="pct"/>
            <w:noWrap w:val="0"/>
            <w:vAlign w:val="center"/>
          </w:tcPr>
          <w:p w14:paraId="6C0ABAAF">
            <w:pPr>
              <w:pStyle w:val="45"/>
              <w:bidi w:val="0"/>
              <w:rPr>
                <w:rFonts w:hint="default"/>
                <w:color w:val="auto"/>
                <w:lang w:val="en-US" w:eastAsia="zh-CN"/>
              </w:rPr>
            </w:pPr>
            <w:r>
              <w:rPr>
                <w:color w:val="auto"/>
              </w:rPr>
              <w:t>移动式tank罐</w:t>
            </w:r>
          </w:p>
        </w:tc>
        <w:tc>
          <w:tcPr>
            <w:tcW w:w="494" w:type="pct"/>
            <w:noWrap w:val="0"/>
            <w:vAlign w:val="center"/>
          </w:tcPr>
          <w:p w14:paraId="4B2EE586">
            <w:pPr>
              <w:pStyle w:val="45"/>
              <w:bidi w:val="0"/>
              <w:rPr>
                <w:color w:val="auto"/>
              </w:rPr>
            </w:pPr>
            <w:r>
              <w:rPr>
                <w:rFonts w:hint="eastAsia"/>
                <w:color w:val="auto"/>
              </w:rPr>
              <w:t>乙类</w:t>
            </w:r>
          </w:p>
        </w:tc>
        <w:tc>
          <w:tcPr>
            <w:tcW w:w="688" w:type="pct"/>
            <w:noWrap w:val="0"/>
            <w:vAlign w:val="center"/>
          </w:tcPr>
          <w:p w14:paraId="33310B5B">
            <w:pPr>
              <w:pStyle w:val="45"/>
              <w:bidi w:val="0"/>
              <w:rPr>
                <w:color w:val="auto"/>
              </w:rPr>
            </w:pPr>
            <w:r>
              <w:rPr>
                <w:color w:val="auto"/>
              </w:rPr>
              <w:t>F113车间东北</w:t>
            </w:r>
          </w:p>
        </w:tc>
      </w:tr>
      <w:tr w14:paraId="0415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494" w:type="pct"/>
            <w:noWrap w:val="0"/>
            <w:vAlign w:val="center"/>
          </w:tcPr>
          <w:p w14:paraId="05F6AA17">
            <w:pPr>
              <w:pStyle w:val="45"/>
              <w:bidi w:val="0"/>
              <w:rPr>
                <w:rFonts w:hint="eastAsia"/>
                <w:color w:val="auto"/>
                <w:lang w:val="en-US" w:eastAsia="zh-CN"/>
              </w:rPr>
            </w:pPr>
            <w:r>
              <w:rPr>
                <w:rFonts w:hint="eastAsia"/>
                <w:color w:val="auto"/>
                <w:lang w:val="en-US" w:eastAsia="zh-CN"/>
              </w:rPr>
              <w:t>4</w:t>
            </w:r>
          </w:p>
        </w:tc>
        <w:tc>
          <w:tcPr>
            <w:tcW w:w="732" w:type="pct"/>
            <w:noWrap w:val="0"/>
            <w:vAlign w:val="center"/>
          </w:tcPr>
          <w:p w14:paraId="6BCDFEF3">
            <w:pPr>
              <w:pStyle w:val="45"/>
              <w:bidi w:val="0"/>
              <w:rPr>
                <w:color w:val="auto"/>
              </w:rPr>
            </w:pPr>
            <w:r>
              <w:rPr>
                <w:color w:val="auto"/>
              </w:rPr>
              <w:t>锌粉仓库</w:t>
            </w:r>
          </w:p>
        </w:tc>
        <w:tc>
          <w:tcPr>
            <w:tcW w:w="1258" w:type="pct"/>
            <w:noWrap w:val="0"/>
            <w:vAlign w:val="center"/>
          </w:tcPr>
          <w:p w14:paraId="192C6E63">
            <w:pPr>
              <w:pStyle w:val="45"/>
              <w:bidi w:val="0"/>
              <w:rPr>
                <w:color w:val="auto"/>
              </w:rPr>
            </w:pPr>
            <w:r>
              <w:rPr>
                <w:color w:val="auto"/>
              </w:rPr>
              <w:t>90</w:t>
            </w:r>
          </w:p>
          <w:p w14:paraId="13CCDAEF">
            <w:pPr>
              <w:pStyle w:val="45"/>
              <w:bidi w:val="0"/>
              <w:rPr>
                <w:color w:val="auto"/>
              </w:rPr>
            </w:pPr>
            <w:r>
              <w:rPr>
                <w:color w:val="auto"/>
              </w:rPr>
              <w:t>（12x7.5）</w:t>
            </w:r>
          </w:p>
        </w:tc>
        <w:tc>
          <w:tcPr>
            <w:tcW w:w="837" w:type="pct"/>
            <w:noWrap w:val="0"/>
            <w:vAlign w:val="center"/>
          </w:tcPr>
          <w:p w14:paraId="70A087CE">
            <w:pPr>
              <w:pStyle w:val="45"/>
              <w:bidi w:val="0"/>
              <w:rPr>
                <w:color w:val="auto"/>
              </w:rPr>
            </w:pPr>
            <w:r>
              <w:rPr>
                <w:color w:val="auto"/>
              </w:rPr>
              <w:t>锌粉</w:t>
            </w:r>
          </w:p>
        </w:tc>
        <w:tc>
          <w:tcPr>
            <w:tcW w:w="494" w:type="pct"/>
            <w:noWrap w:val="0"/>
            <w:vAlign w:val="center"/>
          </w:tcPr>
          <w:p w14:paraId="1E74E3E1">
            <w:pPr>
              <w:pStyle w:val="45"/>
              <w:bidi w:val="0"/>
              <w:rPr>
                <w:color w:val="auto"/>
              </w:rPr>
            </w:pPr>
            <w:r>
              <w:rPr>
                <w:color w:val="auto"/>
              </w:rPr>
              <w:t>袋装</w:t>
            </w:r>
          </w:p>
        </w:tc>
        <w:tc>
          <w:tcPr>
            <w:tcW w:w="494" w:type="pct"/>
            <w:noWrap w:val="0"/>
            <w:vAlign w:val="center"/>
          </w:tcPr>
          <w:p w14:paraId="42AE0526">
            <w:pPr>
              <w:pStyle w:val="45"/>
              <w:bidi w:val="0"/>
              <w:rPr>
                <w:color w:val="auto"/>
              </w:rPr>
            </w:pPr>
            <w:r>
              <w:rPr>
                <w:rFonts w:hint="eastAsia"/>
                <w:color w:val="auto"/>
              </w:rPr>
              <w:t>甲类</w:t>
            </w:r>
          </w:p>
        </w:tc>
        <w:tc>
          <w:tcPr>
            <w:tcW w:w="688" w:type="pct"/>
            <w:noWrap w:val="0"/>
            <w:vAlign w:val="center"/>
          </w:tcPr>
          <w:p w14:paraId="31BD5B8F">
            <w:pPr>
              <w:pStyle w:val="45"/>
              <w:bidi w:val="0"/>
              <w:rPr>
                <w:color w:val="auto"/>
              </w:rPr>
            </w:pPr>
            <w:r>
              <w:rPr>
                <w:color w:val="auto"/>
              </w:rPr>
              <w:t>厂区西北角</w:t>
            </w:r>
          </w:p>
        </w:tc>
      </w:tr>
      <w:tr w14:paraId="6D0B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494" w:type="pct"/>
            <w:noWrap w:val="0"/>
            <w:vAlign w:val="center"/>
          </w:tcPr>
          <w:p w14:paraId="431B9866">
            <w:pPr>
              <w:pStyle w:val="45"/>
              <w:bidi w:val="0"/>
              <w:rPr>
                <w:rFonts w:hint="eastAsia"/>
                <w:color w:val="auto"/>
                <w:lang w:val="en-US" w:eastAsia="zh-CN"/>
              </w:rPr>
            </w:pPr>
            <w:r>
              <w:rPr>
                <w:rFonts w:hint="eastAsia"/>
                <w:color w:val="auto"/>
                <w:lang w:val="en-US" w:eastAsia="zh-CN"/>
              </w:rPr>
              <w:t>5</w:t>
            </w:r>
          </w:p>
        </w:tc>
        <w:tc>
          <w:tcPr>
            <w:tcW w:w="732" w:type="pct"/>
            <w:noWrap w:val="0"/>
            <w:vAlign w:val="center"/>
          </w:tcPr>
          <w:p w14:paraId="65C85270">
            <w:pPr>
              <w:pStyle w:val="45"/>
              <w:bidi w:val="0"/>
              <w:rPr>
                <w:color w:val="auto"/>
              </w:rPr>
            </w:pPr>
            <w:r>
              <w:rPr>
                <w:color w:val="auto"/>
              </w:rPr>
              <w:t>F141b成品仓库</w:t>
            </w:r>
          </w:p>
        </w:tc>
        <w:tc>
          <w:tcPr>
            <w:tcW w:w="1258" w:type="pct"/>
            <w:noWrap w:val="0"/>
            <w:vAlign w:val="center"/>
          </w:tcPr>
          <w:p w14:paraId="5C31BE32">
            <w:pPr>
              <w:pStyle w:val="45"/>
              <w:bidi w:val="0"/>
              <w:rPr>
                <w:color w:val="auto"/>
              </w:rPr>
            </w:pPr>
            <w:r>
              <w:rPr>
                <w:color w:val="auto"/>
              </w:rPr>
              <w:t>690</w:t>
            </w:r>
          </w:p>
          <w:p w14:paraId="7820137F">
            <w:pPr>
              <w:pStyle w:val="45"/>
              <w:bidi w:val="0"/>
              <w:rPr>
                <w:color w:val="auto"/>
              </w:rPr>
            </w:pPr>
            <w:r>
              <w:rPr>
                <w:color w:val="auto"/>
              </w:rPr>
              <w:t>（30x23）</w:t>
            </w:r>
          </w:p>
        </w:tc>
        <w:tc>
          <w:tcPr>
            <w:tcW w:w="837" w:type="pct"/>
            <w:noWrap w:val="0"/>
            <w:vAlign w:val="center"/>
          </w:tcPr>
          <w:p w14:paraId="5DAC225D">
            <w:pPr>
              <w:pStyle w:val="45"/>
              <w:bidi w:val="0"/>
              <w:rPr>
                <w:color w:val="auto"/>
              </w:rPr>
            </w:pPr>
            <w:r>
              <w:rPr>
                <w:color w:val="auto"/>
              </w:rPr>
              <w:t>F141b</w:t>
            </w:r>
          </w:p>
        </w:tc>
        <w:tc>
          <w:tcPr>
            <w:tcW w:w="494" w:type="pct"/>
            <w:noWrap w:val="0"/>
            <w:vAlign w:val="center"/>
          </w:tcPr>
          <w:p w14:paraId="4D798538">
            <w:pPr>
              <w:pStyle w:val="45"/>
              <w:bidi w:val="0"/>
              <w:rPr>
                <w:color w:val="auto"/>
              </w:rPr>
            </w:pPr>
            <w:r>
              <w:rPr>
                <w:color w:val="auto"/>
              </w:rPr>
              <w:t>桶装</w:t>
            </w:r>
          </w:p>
        </w:tc>
        <w:tc>
          <w:tcPr>
            <w:tcW w:w="494" w:type="pct"/>
            <w:noWrap w:val="0"/>
            <w:vAlign w:val="center"/>
          </w:tcPr>
          <w:p w14:paraId="2A22C55F">
            <w:pPr>
              <w:pStyle w:val="45"/>
              <w:bidi w:val="0"/>
              <w:rPr>
                <w:color w:val="auto"/>
              </w:rPr>
            </w:pPr>
            <w:r>
              <w:rPr>
                <w:rFonts w:hint="eastAsia"/>
                <w:color w:val="auto"/>
              </w:rPr>
              <w:t>丙类</w:t>
            </w:r>
          </w:p>
        </w:tc>
        <w:tc>
          <w:tcPr>
            <w:tcW w:w="688" w:type="pct"/>
            <w:noWrap w:val="0"/>
            <w:vAlign w:val="center"/>
          </w:tcPr>
          <w:p w14:paraId="75B3F441">
            <w:pPr>
              <w:pStyle w:val="45"/>
              <w:bidi w:val="0"/>
              <w:rPr>
                <w:color w:val="auto"/>
              </w:rPr>
            </w:pPr>
            <w:r>
              <w:rPr>
                <w:rFonts w:hint="eastAsia"/>
                <w:color w:val="auto"/>
              </w:rPr>
              <w:t>厂区南侧</w:t>
            </w:r>
          </w:p>
        </w:tc>
      </w:tr>
      <w:tr w14:paraId="4281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494" w:type="pct"/>
            <w:noWrap w:val="0"/>
            <w:vAlign w:val="center"/>
          </w:tcPr>
          <w:p w14:paraId="21999CB3">
            <w:pPr>
              <w:pStyle w:val="45"/>
              <w:bidi w:val="0"/>
              <w:rPr>
                <w:rFonts w:hint="eastAsia"/>
                <w:color w:val="auto"/>
                <w:lang w:val="en-US" w:eastAsia="zh-CN"/>
              </w:rPr>
            </w:pPr>
            <w:r>
              <w:rPr>
                <w:rFonts w:hint="eastAsia"/>
                <w:color w:val="auto"/>
                <w:lang w:val="en-US" w:eastAsia="zh-CN"/>
              </w:rPr>
              <w:t>6</w:t>
            </w:r>
          </w:p>
        </w:tc>
        <w:tc>
          <w:tcPr>
            <w:tcW w:w="732" w:type="pct"/>
            <w:noWrap w:val="0"/>
            <w:vAlign w:val="center"/>
          </w:tcPr>
          <w:p w14:paraId="6B2802C2">
            <w:pPr>
              <w:pStyle w:val="45"/>
              <w:bidi w:val="0"/>
              <w:rPr>
                <w:color w:val="auto"/>
              </w:rPr>
            </w:pPr>
            <w:r>
              <w:rPr>
                <w:rFonts w:hint="eastAsia"/>
                <w:color w:val="auto"/>
              </w:rPr>
              <w:t>生产辅房四</w:t>
            </w:r>
          </w:p>
          <w:p w14:paraId="3AA684CC">
            <w:pPr>
              <w:pStyle w:val="45"/>
              <w:bidi w:val="0"/>
              <w:rPr>
                <w:color w:val="auto"/>
              </w:rPr>
            </w:pPr>
            <w:r>
              <w:rPr>
                <w:rFonts w:hint="eastAsia"/>
                <w:color w:val="auto"/>
              </w:rPr>
              <w:t>（产品仓库）</w:t>
            </w:r>
          </w:p>
        </w:tc>
        <w:tc>
          <w:tcPr>
            <w:tcW w:w="1258" w:type="pct"/>
            <w:noWrap w:val="0"/>
            <w:vAlign w:val="center"/>
          </w:tcPr>
          <w:p w14:paraId="4EAA07A4">
            <w:pPr>
              <w:pStyle w:val="45"/>
              <w:bidi w:val="0"/>
              <w:rPr>
                <w:color w:val="auto"/>
              </w:rPr>
            </w:pPr>
            <w:r>
              <w:rPr>
                <w:rFonts w:hint="eastAsia"/>
                <w:color w:val="auto"/>
              </w:rPr>
              <w:t>1</w:t>
            </w:r>
            <w:r>
              <w:rPr>
                <w:color w:val="auto"/>
              </w:rPr>
              <w:t>488</w:t>
            </w:r>
          </w:p>
          <w:p w14:paraId="59FE0829">
            <w:pPr>
              <w:pStyle w:val="45"/>
              <w:bidi w:val="0"/>
              <w:rPr>
                <w:color w:val="auto"/>
              </w:rPr>
            </w:pPr>
            <w:r>
              <w:rPr>
                <w:rFonts w:hint="eastAsia"/>
                <w:color w:val="auto"/>
              </w:rPr>
              <w:t>（</w:t>
            </w:r>
            <w:r>
              <w:rPr>
                <w:color w:val="auto"/>
              </w:rPr>
              <w:t>48</w:t>
            </w:r>
            <w:r>
              <w:rPr>
                <w:rFonts w:hint="eastAsia"/>
                <w:color w:val="auto"/>
              </w:rPr>
              <w:t>x</w:t>
            </w:r>
            <w:r>
              <w:rPr>
                <w:color w:val="auto"/>
              </w:rPr>
              <w:t>31</w:t>
            </w:r>
            <w:r>
              <w:rPr>
                <w:rFonts w:hint="eastAsia"/>
                <w:color w:val="auto"/>
              </w:rPr>
              <w:t>）</w:t>
            </w:r>
          </w:p>
        </w:tc>
        <w:tc>
          <w:tcPr>
            <w:tcW w:w="837" w:type="pct"/>
            <w:noWrap w:val="0"/>
            <w:vAlign w:val="center"/>
          </w:tcPr>
          <w:p w14:paraId="2CFD3C86">
            <w:pPr>
              <w:pStyle w:val="45"/>
              <w:bidi w:val="0"/>
              <w:rPr>
                <w:color w:val="auto"/>
              </w:rPr>
            </w:pPr>
            <w:r>
              <w:rPr>
                <w:rFonts w:hint="eastAsia"/>
                <w:color w:val="auto"/>
              </w:rPr>
              <w:t>F</w:t>
            </w:r>
            <w:r>
              <w:rPr>
                <w:color w:val="auto"/>
              </w:rPr>
              <w:t>113</w:t>
            </w:r>
            <w:r>
              <w:rPr>
                <w:rFonts w:hint="eastAsia"/>
                <w:color w:val="auto"/>
              </w:rPr>
              <w:t>a、F</w:t>
            </w:r>
            <w:r>
              <w:rPr>
                <w:color w:val="auto"/>
              </w:rPr>
              <w:t>141</w:t>
            </w:r>
            <w:r>
              <w:rPr>
                <w:rFonts w:hint="eastAsia"/>
                <w:color w:val="auto"/>
              </w:rPr>
              <w:t>b、氯化锌溶液</w:t>
            </w:r>
          </w:p>
        </w:tc>
        <w:tc>
          <w:tcPr>
            <w:tcW w:w="494" w:type="pct"/>
            <w:noWrap w:val="0"/>
            <w:vAlign w:val="center"/>
          </w:tcPr>
          <w:p w14:paraId="32A5B7E6">
            <w:pPr>
              <w:pStyle w:val="45"/>
              <w:bidi w:val="0"/>
              <w:rPr>
                <w:color w:val="auto"/>
              </w:rPr>
            </w:pPr>
            <w:r>
              <w:rPr>
                <w:color w:val="auto"/>
              </w:rPr>
              <w:t>桶装</w:t>
            </w:r>
          </w:p>
        </w:tc>
        <w:tc>
          <w:tcPr>
            <w:tcW w:w="494" w:type="pct"/>
            <w:noWrap w:val="0"/>
            <w:vAlign w:val="center"/>
          </w:tcPr>
          <w:p w14:paraId="7558489F">
            <w:pPr>
              <w:pStyle w:val="45"/>
              <w:bidi w:val="0"/>
              <w:rPr>
                <w:color w:val="auto"/>
              </w:rPr>
            </w:pPr>
            <w:r>
              <w:rPr>
                <w:rFonts w:hint="eastAsia"/>
                <w:color w:val="auto"/>
              </w:rPr>
              <w:t>丙类</w:t>
            </w:r>
          </w:p>
        </w:tc>
        <w:tc>
          <w:tcPr>
            <w:tcW w:w="688" w:type="pct"/>
            <w:noWrap w:val="0"/>
            <w:vAlign w:val="center"/>
          </w:tcPr>
          <w:p w14:paraId="2BFAA483">
            <w:pPr>
              <w:pStyle w:val="45"/>
              <w:bidi w:val="0"/>
              <w:rPr>
                <w:color w:val="auto"/>
              </w:rPr>
            </w:pPr>
            <w:r>
              <w:rPr>
                <w:rFonts w:hint="eastAsia"/>
                <w:color w:val="auto"/>
              </w:rPr>
              <w:t>厂区南侧</w:t>
            </w:r>
          </w:p>
        </w:tc>
      </w:tr>
      <w:tr w14:paraId="2ADB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494" w:type="pct"/>
            <w:noWrap w:val="0"/>
            <w:vAlign w:val="center"/>
          </w:tcPr>
          <w:p w14:paraId="62DD024B">
            <w:pPr>
              <w:pStyle w:val="45"/>
              <w:bidi w:val="0"/>
              <w:rPr>
                <w:rFonts w:hint="eastAsia"/>
                <w:color w:val="auto"/>
                <w:lang w:val="en-US" w:eastAsia="zh-CN"/>
              </w:rPr>
            </w:pPr>
            <w:r>
              <w:rPr>
                <w:rFonts w:hint="eastAsia"/>
                <w:color w:val="auto"/>
                <w:lang w:val="en-US" w:eastAsia="zh-CN"/>
              </w:rPr>
              <w:t>7</w:t>
            </w:r>
          </w:p>
        </w:tc>
        <w:tc>
          <w:tcPr>
            <w:tcW w:w="732" w:type="pct"/>
            <w:noWrap w:val="0"/>
            <w:vAlign w:val="center"/>
          </w:tcPr>
          <w:p w14:paraId="09AC1E01">
            <w:pPr>
              <w:pStyle w:val="45"/>
              <w:bidi w:val="0"/>
              <w:rPr>
                <w:color w:val="auto"/>
              </w:rPr>
            </w:pPr>
            <w:r>
              <w:rPr>
                <w:color w:val="auto"/>
              </w:rPr>
              <w:t>钢材仓库</w:t>
            </w:r>
          </w:p>
        </w:tc>
        <w:tc>
          <w:tcPr>
            <w:tcW w:w="1258" w:type="pct"/>
            <w:noWrap w:val="0"/>
            <w:vAlign w:val="center"/>
          </w:tcPr>
          <w:p w14:paraId="0E3CA1F7">
            <w:pPr>
              <w:pStyle w:val="45"/>
              <w:bidi w:val="0"/>
              <w:rPr>
                <w:color w:val="auto"/>
              </w:rPr>
            </w:pPr>
            <w:r>
              <w:rPr>
                <w:color w:val="auto"/>
              </w:rPr>
              <w:t>756</w:t>
            </w:r>
          </w:p>
          <w:p w14:paraId="6BDF696D">
            <w:pPr>
              <w:pStyle w:val="45"/>
              <w:bidi w:val="0"/>
              <w:rPr>
                <w:color w:val="auto"/>
              </w:rPr>
            </w:pPr>
            <w:r>
              <w:rPr>
                <w:color w:val="auto"/>
              </w:rPr>
              <w:t>（42x18）</w:t>
            </w:r>
          </w:p>
        </w:tc>
        <w:tc>
          <w:tcPr>
            <w:tcW w:w="837" w:type="pct"/>
            <w:noWrap w:val="0"/>
            <w:vAlign w:val="center"/>
          </w:tcPr>
          <w:p w14:paraId="5398BAFF">
            <w:pPr>
              <w:pStyle w:val="45"/>
              <w:bidi w:val="0"/>
              <w:rPr>
                <w:color w:val="auto"/>
              </w:rPr>
            </w:pPr>
            <w:r>
              <w:rPr>
                <w:color w:val="auto"/>
              </w:rPr>
              <w:t>钢材</w:t>
            </w:r>
          </w:p>
        </w:tc>
        <w:tc>
          <w:tcPr>
            <w:tcW w:w="494" w:type="pct"/>
            <w:noWrap w:val="0"/>
            <w:vAlign w:val="center"/>
          </w:tcPr>
          <w:p w14:paraId="4304AE14">
            <w:pPr>
              <w:pStyle w:val="45"/>
              <w:bidi w:val="0"/>
              <w:rPr>
                <w:color w:val="auto"/>
              </w:rPr>
            </w:pPr>
            <w:r>
              <w:rPr>
                <w:color w:val="auto"/>
              </w:rPr>
              <w:t>/</w:t>
            </w:r>
          </w:p>
        </w:tc>
        <w:tc>
          <w:tcPr>
            <w:tcW w:w="494" w:type="pct"/>
            <w:noWrap w:val="0"/>
            <w:vAlign w:val="center"/>
          </w:tcPr>
          <w:p w14:paraId="3AF53368">
            <w:pPr>
              <w:pStyle w:val="45"/>
              <w:bidi w:val="0"/>
              <w:rPr>
                <w:color w:val="auto"/>
              </w:rPr>
            </w:pPr>
            <w:r>
              <w:rPr>
                <w:rFonts w:hint="eastAsia"/>
                <w:color w:val="auto"/>
              </w:rPr>
              <w:t>戊类</w:t>
            </w:r>
          </w:p>
        </w:tc>
        <w:tc>
          <w:tcPr>
            <w:tcW w:w="688" w:type="pct"/>
            <w:noWrap w:val="0"/>
            <w:vAlign w:val="center"/>
          </w:tcPr>
          <w:p w14:paraId="5070BBC6">
            <w:pPr>
              <w:pStyle w:val="45"/>
              <w:bidi w:val="0"/>
              <w:rPr>
                <w:color w:val="auto"/>
              </w:rPr>
            </w:pPr>
            <w:r>
              <w:rPr>
                <w:color w:val="auto"/>
              </w:rPr>
              <w:t>厂区西南角</w:t>
            </w:r>
          </w:p>
        </w:tc>
      </w:tr>
      <w:tr w14:paraId="7DD7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494" w:type="pct"/>
            <w:noWrap w:val="0"/>
            <w:vAlign w:val="center"/>
          </w:tcPr>
          <w:p w14:paraId="6FC6E0F3">
            <w:pPr>
              <w:pStyle w:val="45"/>
              <w:bidi w:val="0"/>
              <w:rPr>
                <w:rFonts w:hint="eastAsia"/>
                <w:color w:val="auto"/>
                <w:lang w:val="en-US" w:eastAsia="zh-CN"/>
              </w:rPr>
            </w:pPr>
            <w:r>
              <w:rPr>
                <w:rFonts w:hint="eastAsia"/>
                <w:color w:val="auto"/>
                <w:lang w:val="en-US" w:eastAsia="zh-CN"/>
              </w:rPr>
              <w:t>8</w:t>
            </w:r>
          </w:p>
        </w:tc>
        <w:tc>
          <w:tcPr>
            <w:tcW w:w="732" w:type="pct"/>
            <w:noWrap w:val="0"/>
            <w:vAlign w:val="center"/>
          </w:tcPr>
          <w:p w14:paraId="4716563D">
            <w:pPr>
              <w:pStyle w:val="45"/>
              <w:bidi w:val="0"/>
              <w:rPr>
                <w:color w:val="auto"/>
              </w:rPr>
            </w:pPr>
            <w:r>
              <w:rPr>
                <w:rFonts w:hint="eastAsia"/>
                <w:color w:val="auto"/>
              </w:rPr>
              <w:t>甲类仓库</w:t>
            </w:r>
          </w:p>
        </w:tc>
        <w:tc>
          <w:tcPr>
            <w:tcW w:w="1258" w:type="pct"/>
            <w:noWrap w:val="0"/>
            <w:vAlign w:val="center"/>
          </w:tcPr>
          <w:p w14:paraId="3118771C">
            <w:pPr>
              <w:pStyle w:val="45"/>
              <w:bidi w:val="0"/>
              <w:rPr>
                <w:color w:val="auto"/>
              </w:rPr>
            </w:pPr>
            <w:r>
              <w:rPr>
                <w:color w:val="auto"/>
              </w:rPr>
              <w:t>232.32</w:t>
            </w:r>
          </w:p>
          <w:p w14:paraId="6E120383">
            <w:pPr>
              <w:pStyle w:val="45"/>
              <w:bidi w:val="0"/>
              <w:rPr>
                <w:color w:val="auto"/>
              </w:rPr>
            </w:pPr>
            <w:r>
              <w:rPr>
                <w:rFonts w:hint="eastAsia"/>
                <w:color w:val="auto"/>
              </w:rPr>
              <w:t>（1</w:t>
            </w:r>
            <w:r>
              <w:rPr>
                <w:color w:val="auto"/>
              </w:rPr>
              <w:t>8.8</w:t>
            </w:r>
            <w:r>
              <w:rPr>
                <w:rFonts w:hint="eastAsia"/>
                <w:color w:val="auto"/>
              </w:rPr>
              <w:t>x</w:t>
            </w:r>
            <w:r>
              <w:rPr>
                <w:color w:val="auto"/>
              </w:rPr>
              <w:t>12.36</w:t>
            </w:r>
            <w:r>
              <w:rPr>
                <w:rFonts w:hint="eastAsia"/>
                <w:color w:val="auto"/>
              </w:rPr>
              <w:t>）</w:t>
            </w:r>
          </w:p>
        </w:tc>
        <w:tc>
          <w:tcPr>
            <w:tcW w:w="837" w:type="pct"/>
            <w:noWrap w:val="0"/>
            <w:vAlign w:val="center"/>
          </w:tcPr>
          <w:p w14:paraId="14234B87">
            <w:pPr>
              <w:pStyle w:val="45"/>
              <w:bidi w:val="0"/>
              <w:rPr>
                <w:color w:val="auto"/>
              </w:rPr>
            </w:pPr>
            <w:r>
              <w:rPr>
                <w:rFonts w:hint="eastAsia"/>
                <w:color w:val="auto"/>
              </w:rPr>
              <w:t>干燥剂、催化剂等化学品</w:t>
            </w:r>
          </w:p>
        </w:tc>
        <w:tc>
          <w:tcPr>
            <w:tcW w:w="494" w:type="pct"/>
            <w:noWrap w:val="0"/>
            <w:vAlign w:val="center"/>
          </w:tcPr>
          <w:p w14:paraId="66A5FAFB">
            <w:pPr>
              <w:pStyle w:val="45"/>
              <w:bidi w:val="0"/>
              <w:rPr>
                <w:color w:val="auto"/>
              </w:rPr>
            </w:pPr>
            <w:r>
              <w:rPr>
                <w:rFonts w:hint="eastAsia"/>
                <w:color w:val="auto"/>
              </w:rPr>
              <w:t>桶装</w:t>
            </w:r>
          </w:p>
        </w:tc>
        <w:tc>
          <w:tcPr>
            <w:tcW w:w="494" w:type="pct"/>
            <w:noWrap w:val="0"/>
            <w:vAlign w:val="center"/>
          </w:tcPr>
          <w:p w14:paraId="65E07E0E">
            <w:pPr>
              <w:pStyle w:val="45"/>
              <w:bidi w:val="0"/>
              <w:rPr>
                <w:color w:val="auto"/>
              </w:rPr>
            </w:pPr>
            <w:r>
              <w:rPr>
                <w:rFonts w:hint="eastAsia"/>
                <w:color w:val="auto"/>
              </w:rPr>
              <w:t>甲类</w:t>
            </w:r>
          </w:p>
        </w:tc>
        <w:tc>
          <w:tcPr>
            <w:tcW w:w="688" w:type="pct"/>
            <w:noWrap w:val="0"/>
            <w:vAlign w:val="center"/>
          </w:tcPr>
          <w:p w14:paraId="73E529DA">
            <w:pPr>
              <w:pStyle w:val="45"/>
              <w:bidi w:val="0"/>
              <w:rPr>
                <w:color w:val="auto"/>
              </w:rPr>
            </w:pPr>
            <w:r>
              <w:rPr>
                <w:rFonts w:hint="eastAsia"/>
                <w:color w:val="auto"/>
              </w:rPr>
              <w:t>厂区西侧</w:t>
            </w:r>
          </w:p>
        </w:tc>
      </w:tr>
    </w:tbl>
    <w:p w14:paraId="22B14FEF">
      <w:pPr>
        <w:pStyle w:val="46"/>
        <w:bidi w:val="0"/>
        <w:rPr>
          <w:color w:val="auto"/>
          <w:lang w:val="zh-CN"/>
        </w:rPr>
      </w:pPr>
      <w:r>
        <w:rPr>
          <w:color w:val="auto"/>
        </w:rPr>
        <w:t>表</w:t>
      </w:r>
      <w:r>
        <w:rPr>
          <w:rFonts w:hint="eastAsia"/>
          <w:color w:val="auto"/>
          <w:lang w:val="en-US" w:eastAsia="zh-CN"/>
        </w:rPr>
        <w:t xml:space="preserve"> 1.1-4 </w:t>
      </w:r>
      <w:r>
        <w:rPr>
          <w:color w:val="auto"/>
        </w:rPr>
        <w:t>厂区罐区设置情况一览表</w:t>
      </w:r>
    </w:p>
    <w:tbl>
      <w:tblPr>
        <w:tblStyle w:val="29"/>
        <w:tblW w:w="51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4"/>
        <w:gridCol w:w="1060"/>
        <w:gridCol w:w="644"/>
        <w:gridCol w:w="502"/>
        <w:gridCol w:w="1710"/>
        <w:gridCol w:w="701"/>
        <w:gridCol w:w="628"/>
        <w:gridCol w:w="766"/>
        <w:gridCol w:w="826"/>
        <w:gridCol w:w="1342"/>
      </w:tblGrid>
      <w:tr w14:paraId="6BFE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blHeader/>
          <w:jc w:val="center"/>
        </w:trPr>
        <w:tc>
          <w:tcPr>
            <w:tcW w:w="246" w:type="pct"/>
            <w:noWrap w:val="0"/>
            <w:vAlign w:val="center"/>
          </w:tcPr>
          <w:p w14:paraId="68F285F0">
            <w:pPr>
              <w:pStyle w:val="45"/>
              <w:bidi w:val="0"/>
            </w:pPr>
            <w:r>
              <w:rPr>
                <w:rFonts w:hint="eastAsia"/>
              </w:rPr>
              <w:t>编号</w:t>
            </w:r>
          </w:p>
        </w:tc>
        <w:tc>
          <w:tcPr>
            <w:tcW w:w="616" w:type="pct"/>
            <w:noWrap w:val="0"/>
            <w:vAlign w:val="center"/>
          </w:tcPr>
          <w:p w14:paraId="2CDA8890">
            <w:pPr>
              <w:pStyle w:val="45"/>
              <w:bidi w:val="0"/>
            </w:pPr>
            <w:r>
              <w:t>名称</w:t>
            </w:r>
          </w:p>
        </w:tc>
        <w:tc>
          <w:tcPr>
            <w:tcW w:w="374" w:type="pct"/>
            <w:noWrap w:val="0"/>
            <w:vAlign w:val="center"/>
          </w:tcPr>
          <w:p w14:paraId="7E7EC786">
            <w:pPr>
              <w:pStyle w:val="45"/>
              <w:bidi w:val="0"/>
            </w:pPr>
            <w:r>
              <w:t>类型</w:t>
            </w:r>
          </w:p>
        </w:tc>
        <w:tc>
          <w:tcPr>
            <w:tcW w:w="291" w:type="pct"/>
            <w:noWrap w:val="0"/>
            <w:vAlign w:val="center"/>
          </w:tcPr>
          <w:p w14:paraId="11C61B5A">
            <w:pPr>
              <w:pStyle w:val="45"/>
              <w:bidi w:val="0"/>
            </w:pPr>
            <w:r>
              <w:t>数量</w:t>
            </w:r>
          </w:p>
        </w:tc>
        <w:tc>
          <w:tcPr>
            <w:tcW w:w="993" w:type="pct"/>
            <w:noWrap w:val="0"/>
            <w:vAlign w:val="center"/>
          </w:tcPr>
          <w:p w14:paraId="77E9F173">
            <w:pPr>
              <w:pStyle w:val="45"/>
              <w:bidi w:val="0"/>
            </w:pPr>
            <w:r>
              <w:t>规格（mm）</w:t>
            </w:r>
          </w:p>
        </w:tc>
        <w:tc>
          <w:tcPr>
            <w:tcW w:w="407" w:type="pct"/>
            <w:noWrap w:val="0"/>
            <w:vAlign w:val="center"/>
          </w:tcPr>
          <w:p w14:paraId="3821F891">
            <w:pPr>
              <w:pStyle w:val="45"/>
              <w:bidi w:val="0"/>
            </w:pPr>
            <w:r>
              <w:t>容积</w:t>
            </w:r>
          </w:p>
          <w:p w14:paraId="12BDC886">
            <w:pPr>
              <w:pStyle w:val="45"/>
              <w:bidi w:val="0"/>
            </w:pPr>
            <w:r>
              <w:t>（m3）</w:t>
            </w:r>
          </w:p>
        </w:tc>
        <w:tc>
          <w:tcPr>
            <w:tcW w:w="364" w:type="pct"/>
            <w:noWrap w:val="0"/>
            <w:vAlign w:val="center"/>
          </w:tcPr>
          <w:p w14:paraId="76A1F516">
            <w:pPr>
              <w:pStyle w:val="45"/>
              <w:bidi w:val="0"/>
            </w:pPr>
            <w:r>
              <w:t>火灾</w:t>
            </w:r>
          </w:p>
          <w:p w14:paraId="5273B591">
            <w:pPr>
              <w:pStyle w:val="45"/>
              <w:bidi w:val="0"/>
            </w:pPr>
            <w:r>
              <w:t>危险性</w:t>
            </w:r>
          </w:p>
        </w:tc>
        <w:tc>
          <w:tcPr>
            <w:tcW w:w="445" w:type="pct"/>
            <w:noWrap w:val="0"/>
            <w:vAlign w:val="center"/>
          </w:tcPr>
          <w:p w14:paraId="786B2DE5">
            <w:pPr>
              <w:pStyle w:val="45"/>
              <w:bidi w:val="0"/>
            </w:pPr>
            <w:r>
              <w:t>材质</w:t>
            </w:r>
          </w:p>
        </w:tc>
        <w:tc>
          <w:tcPr>
            <w:tcW w:w="480" w:type="pct"/>
            <w:noWrap w:val="0"/>
            <w:vAlign w:val="center"/>
          </w:tcPr>
          <w:p w14:paraId="2CB71082">
            <w:pPr>
              <w:pStyle w:val="45"/>
              <w:bidi w:val="0"/>
            </w:pPr>
            <w:r>
              <w:t>位置</w:t>
            </w:r>
          </w:p>
        </w:tc>
        <w:tc>
          <w:tcPr>
            <w:tcW w:w="779" w:type="pct"/>
            <w:noWrap w:val="0"/>
            <w:vAlign w:val="center"/>
          </w:tcPr>
          <w:p w14:paraId="67F5F338">
            <w:pPr>
              <w:pStyle w:val="45"/>
              <w:bidi w:val="0"/>
            </w:pPr>
            <w:r>
              <w:t>采取的安全环保措施</w:t>
            </w:r>
          </w:p>
        </w:tc>
      </w:tr>
      <w:tr w14:paraId="5BB5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vMerge w:val="restart"/>
            <w:noWrap w:val="0"/>
            <w:vAlign w:val="center"/>
          </w:tcPr>
          <w:p w14:paraId="6F7B8AA9">
            <w:pPr>
              <w:pStyle w:val="45"/>
              <w:bidi w:val="0"/>
            </w:pPr>
            <w:r>
              <w:t>1</w:t>
            </w:r>
          </w:p>
        </w:tc>
        <w:tc>
          <w:tcPr>
            <w:tcW w:w="616" w:type="pct"/>
            <w:vMerge w:val="restart"/>
            <w:noWrap w:val="0"/>
            <w:vAlign w:val="center"/>
          </w:tcPr>
          <w:p w14:paraId="022544CD">
            <w:pPr>
              <w:pStyle w:val="45"/>
              <w:bidi w:val="0"/>
            </w:pPr>
            <w:r>
              <w:rPr>
                <w:rFonts w:hint="eastAsia"/>
              </w:rPr>
              <w:t>甲</w:t>
            </w:r>
            <w:r>
              <w:rPr>
                <w:rFonts w:hint="eastAsia"/>
                <w:lang w:val="en-US" w:eastAsia="zh-CN"/>
              </w:rPr>
              <w:t>B</w:t>
            </w:r>
            <w:r>
              <w:rPr>
                <w:rFonts w:hint="eastAsia"/>
              </w:rPr>
              <w:t>类</w:t>
            </w:r>
            <w:r>
              <w:rPr>
                <w:rFonts w:hint="eastAsia"/>
                <w:lang w:val="en-US" w:eastAsia="zh-CN"/>
              </w:rPr>
              <w:t>埋地</w:t>
            </w:r>
            <w:r>
              <w:t>罐区</w:t>
            </w:r>
          </w:p>
        </w:tc>
        <w:tc>
          <w:tcPr>
            <w:tcW w:w="374" w:type="pct"/>
            <w:noWrap w:val="0"/>
            <w:vAlign w:val="center"/>
          </w:tcPr>
          <w:p w14:paraId="313A25D7">
            <w:pPr>
              <w:pStyle w:val="45"/>
              <w:bidi w:val="0"/>
            </w:pPr>
            <w:r>
              <w:t>卧式</w:t>
            </w:r>
          </w:p>
        </w:tc>
        <w:tc>
          <w:tcPr>
            <w:tcW w:w="291" w:type="pct"/>
            <w:noWrap w:val="0"/>
            <w:vAlign w:val="center"/>
          </w:tcPr>
          <w:p w14:paraId="292A01E3">
            <w:pPr>
              <w:pStyle w:val="45"/>
              <w:bidi w:val="0"/>
            </w:pPr>
            <w:r>
              <w:t>2</w:t>
            </w:r>
          </w:p>
        </w:tc>
        <w:tc>
          <w:tcPr>
            <w:tcW w:w="993" w:type="pct"/>
            <w:noWrap w:val="0"/>
            <w:vAlign w:val="center"/>
          </w:tcPr>
          <w:p w14:paraId="2B82BEB1">
            <w:pPr>
              <w:pStyle w:val="45"/>
              <w:bidi w:val="0"/>
            </w:pPr>
            <w:r>
              <w:t>偏二氯乙烯</w:t>
            </w:r>
            <w:r>
              <w:rPr>
                <w:rFonts w:hint="eastAsia"/>
              </w:rPr>
              <w:t>：</w:t>
            </w:r>
            <w:r>
              <w:t>3400×10000</w:t>
            </w:r>
          </w:p>
        </w:tc>
        <w:tc>
          <w:tcPr>
            <w:tcW w:w="407" w:type="pct"/>
            <w:noWrap w:val="0"/>
            <w:vAlign w:val="center"/>
          </w:tcPr>
          <w:p w14:paraId="249E1AAB">
            <w:pPr>
              <w:pStyle w:val="45"/>
              <w:bidi w:val="0"/>
            </w:pPr>
            <w:r>
              <w:t>100*2</w:t>
            </w:r>
          </w:p>
        </w:tc>
        <w:tc>
          <w:tcPr>
            <w:tcW w:w="364" w:type="pct"/>
            <w:vMerge w:val="restart"/>
            <w:noWrap w:val="0"/>
            <w:vAlign w:val="center"/>
          </w:tcPr>
          <w:p w14:paraId="43858E4F">
            <w:pPr>
              <w:pStyle w:val="45"/>
              <w:bidi w:val="0"/>
            </w:pPr>
            <w:r>
              <w:t>甲</w:t>
            </w:r>
          </w:p>
        </w:tc>
        <w:tc>
          <w:tcPr>
            <w:tcW w:w="445" w:type="pct"/>
            <w:noWrap w:val="0"/>
            <w:vAlign w:val="center"/>
          </w:tcPr>
          <w:p w14:paraId="03210075">
            <w:pPr>
              <w:pStyle w:val="45"/>
              <w:bidi w:val="0"/>
            </w:pPr>
            <w:r>
              <w:rPr>
                <w:rFonts w:hint="eastAsia"/>
              </w:rPr>
              <w:t>不锈钢</w:t>
            </w:r>
          </w:p>
        </w:tc>
        <w:tc>
          <w:tcPr>
            <w:tcW w:w="480" w:type="pct"/>
            <w:vMerge w:val="restart"/>
            <w:noWrap w:val="0"/>
            <w:vAlign w:val="center"/>
          </w:tcPr>
          <w:p w14:paraId="5954A623">
            <w:pPr>
              <w:pStyle w:val="45"/>
              <w:bidi w:val="0"/>
              <w:rPr>
                <w:rFonts w:hint="default"/>
                <w:lang w:val="en-US" w:eastAsia="zh-CN"/>
              </w:rPr>
            </w:pPr>
            <w:r>
              <w:rPr>
                <w:rFonts w:hint="eastAsia"/>
                <w:lang w:val="en-US" w:eastAsia="zh-CN"/>
              </w:rPr>
              <w:t>AHF冷冻东南侧</w:t>
            </w:r>
          </w:p>
        </w:tc>
        <w:tc>
          <w:tcPr>
            <w:tcW w:w="779" w:type="pct"/>
            <w:vMerge w:val="restart"/>
            <w:noWrap w:val="0"/>
            <w:vAlign w:val="center"/>
          </w:tcPr>
          <w:p w14:paraId="68562C1D">
            <w:pPr>
              <w:pStyle w:val="45"/>
              <w:bidi w:val="0"/>
            </w:pPr>
            <w:r>
              <w:t>围堰、视频监控、气体泄漏浓度报警、火灾报警、紧急切断联锁等</w:t>
            </w:r>
          </w:p>
        </w:tc>
      </w:tr>
      <w:tr w14:paraId="0510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vMerge w:val="continue"/>
            <w:noWrap w:val="0"/>
            <w:vAlign w:val="center"/>
          </w:tcPr>
          <w:p w14:paraId="76B0DC85">
            <w:pPr>
              <w:pStyle w:val="45"/>
              <w:bidi w:val="0"/>
            </w:pPr>
          </w:p>
        </w:tc>
        <w:tc>
          <w:tcPr>
            <w:tcW w:w="616" w:type="pct"/>
            <w:vMerge w:val="continue"/>
            <w:noWrap w:val="0"/>
            <w:vAlign w:val="center"/>
          </w:tcPr>
          <w:p w14:paraId="7523AEF3">
            <w:pPr>
              <w:pStyle w:val="45"/>
              <w:bidi w:val="0"/>
            </w:pPr>
          </w:p>
        </w:tc>
        <w:tc>
          <w:tcPr>
            <w:tcW w:w="374" w:type="pct"/>
            <w:noWrap w:val="0"/>
            <w:vAlign w:val="center"/>
          </w:tcPr>
          <w:p w14:paraId="6B5503CA">
            <w:pPr>
              <w:pStyle w:val="45"/>
              <w:bidi w:val="0"/>
            </w:pPr>
            <w:r>
              <w:t>卧式</w:t>
            </w:r>
          </w:p>
        </w:tc>
        <w:tc>
          <w:tcPr>
            <w:tcW w:w="291" w:type="pct"/>
            <w:noWrap w:val="0"/>
            <w:vAlign w:val="center"/>
          </w:tcPr>
          <w:p w14:paraId="0FB0DF04">
            <w:pPr>
              <w:pStyle w:val="45"/>
              <w:bidi w:val="0"/>
            </w:pPr>
            <w:r>
              <w:t>1</w:t>
            </w:r>
          </w:p>
        </w:tc>
        <w:tc>
          <w:tcPr>
            <w:tcW w:w="993" w:type="pct"/>
            <w:noWrap w:val="0"/>
            <w:vAlign w:val="center"/>
          </w:tcPr>
          <w:p w14:paraId="221EB603">
            <w:pPr>
              <w:pStyle w:val="45"/>
              <w:bidi w:val="0"/>
            </w:pPr>
            <w:r>
              <w:t>甲醇：3400×10000</w:t>
            </w:r>
          </w:p>
        </w:tc>
        <w:tc>
          <w:tcPr>
            <w:tcW w:w="407" w:type="pct"/>
            <w:noWrap w:val="0"/>
            <w:vAlign w:val="center"/>
          </w:tcPr>
          <w:p w14:paraId="0D5B34DF">
            <w:pPr>
              <w:pStyle w:val="45"/>
              <w:bidi w:val="0"/>
            </w:pPr>
            <w:r>
              <w:t>100</w:t>
            </w:r>
          </w:p>
        </w:tc>
        <w:tc>
          <w:tcPr>
            <w:tcW w:w="364" w:type="pct"/>
            <w:vMerge w:val="continue"/>
            <w:noWrap w:val="0"/>
            <w:vAlign w:val="center"/>
          </w:tcPr>
          <w:p w14:paraId="7611D544">
            <w:pPr>
              <w:pStyle w:val="45"/>
              <w:bidi w:val="0"/>
            </w:pPr>
          </w:p>
        </w:tc>
        <w:tc>
          <w:tcPr>
            <w:tcW w:w="445" w:type="pct"/>
            <w:noWrap w:val="0"/>
            <w:vAlign w:val="center"/>
          </w:tcPr>
          <w:p w14:paraId="66AC0F0D">
            <w:pPr>
              <w:pStyle w:val="45"/>
              <w:bidi w:val="0"/>
            </w:pPr>
            <w:r>
              <w:rPr>
                <w:rFonts w:hint="eastAsia"/>
              </w:rPr>
              <w:t>不锈钢</w:t>
            </w:r>
          </w:p>
        </w:tc>
        <w:tc>
          <w:tcPr>
            <w:tcW w:w="480" w:type="pct"/>
            <w:vMerge w:val="continue"/>
            <w:noWrap w:val="0"/>
            <w:vAlign w:val="center"/>
          </w:tcPr>
          <w:p w14:paraId="55988A4E">
            <w:pPr>
              <w:pStyle w:val="45"/>
              <w:bidi w:val="0"/>
            </w:pPr>
          </w:p>
        </w:tc>
        <w:tc>
          <w:tcPr>
            <w:tcW w:w="779" w:type="pct"/>
            <w:vMerge w:val="continue"/>
            <w:noWrap w:val="0"/>
            <w:vAlign w:val="center"/>
          </w:tcPr>
          <w:p w14:paraId="63DA6BCB">
            <w:pPr>
              <w:pStyle w:val="45"/>
              <w:bidi w:val="0"/>
            </w:pPr>
          </w:p>
        </w:tc>
      </w:tr>
      <w:tr w14:paraId="2C2D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vMerge w:val="continue"/>
            <w:noWrap w:val="0"/>
            <w:vAlign w:val="center"/>
          </w:tcPr>
          <w:p w14:paraId="7C8BCEF8">
            <w:pPr>
              <w:pStyle w:val="45"/>
              <w:bidi w:val="0"/>
            </w:pPr>
          </w:p>
        </w:tc>
        <w:tc>
          <w:tcPr>
            <w:tcW w:w="616" w:type="pct"/>
            <w:vMerge w:val="continue"/>
            <w:noWrap w:val="0"/>
            <w:vAlign w:val="center"/>
          </w:tcPr>
          <w:p w14:paraId="64CAD54A">
            <w:pPr>
              <w:pStyle w:val="45"/>
              <w:bidi w:val="0"/>
            </w:pPr>
          </w:p>
        </w:tc>
        <w:tc>
          <w:tcPr>
            <w:tcW w:w="374" w:type="pct"/>
            <w:noWrap w:val="0"/>
            <w:vAlign w:val="center"/>
          </w:tcPr>
          <w:p w14:paraId="5E617E10">
            <w:pPr>
              <w:pStyle w:val="45"/>
              <w:bidi w:val="0"/>
            </w:pPr>
            <w:r>
              <w:t>卧式</w:t>
            </w:r>
          </w:p>
        </w:tc>
        <w:tc>
          <w:tcPr>
            <w:tcW w:w="291" w:type="pct"/>
            <w:noWrap w:val="0"/>
            <w:vAlign w:val="center"/>
          </w:tcPr>
          <w:p w14:paraId="21B978C4">
            <w:pPr>
              <w:pStyle w:val="45"/>
              <w:bidi w:val="0"/>
            </w:pPr>
            <w:r>
              <w:rPr>
                <w:rFonts w:hint="eastAsia"/>
              </w:rPr>
              <w:t>1</w:t>
            </w:r>
          </w:p>
        </w:tc>
        <w:tc>
          <w:tcPr>
            <w:tcW w:w="993" w:type="pct"/>
            <w:noWrap w:val="0"/>
            <w:vAlign w:val="center"/>
          </w:tcPr>
          <w:p w14:paraId="73375D9C">
            <w:pPr>
              <w:pStyle w:val="45"/>
              <w:bidi w:val="0"/>
            </w:pPr>
            <w:r>
              <w:rPr>
                <w:rFonts w:hint="eastAsia"/>
              </w:rPr>
              <w:t>液碱</w:t>
            </w:r>
            <w:r>
              <w:t>：3400×10000</w:t>
            </w:r>
          </w:p>
        </w:tc>
        <w:tc>
          <w:tcPr>
            <w:tcW w:w="407" w:type="pct"/>
            <w:noWrap w:val="0"/>
            <w:vAlign w:val="center"/>
          </w:tcPr>
          <w:p w14:paraId="6E66A963">
            <w:pPr>
              <w:pStyle w:val="45"/>
              <w:bidi w:val="0"/>
            </w:pPr>
            <w:r>
              <w:rPr>
                <w:rFonts w:hint="eastAsia"/>
              </w:rPr>
              <w:t>1</w:t>
            </w:r>
            <w:r>
              <w:t>00</w:t>
            </w:r>
          </w:p>
        </w:tc>
        <w:tc>
          <w:tcPr>
            <w:tcW w:w="364" w:type="pct"/>
            <w:vMerge w:val="continue"/>
            <w:noWrap w:val="0"/>
            <w:vAlign w:val="center"/>
          </w:tcPr>
          <w:p w14:paraId="5306053E">
            <w:pPr>
              <w:pStyle w:val="45"/>
              <w:bidi w:val="0"/>
            </w:pPr>
          </w:p>
        </w:tc>
        <w:tc>
          <w:tcPr>
            <w:tcW w:w="445" w:type="pct"/>
            <w:noWrap w:val="0"/>
            <w:vAlign w:val="center"/>
          </w:tcPr>
          <w:p w14:paraId="114D7C8B">
            <w:pPr>
              <w:pStyle w:val="45"/>
              <w:bidi w:val="0"/>
            </w:pPr>
            <w:r>
              <w:t>碳钢</w:t>
            </w:r>
          </w:p>
        </w:tc>
        <w:tc>
          <w:tcPr>
            <w:tcW w:w="480" w:type="pct"/>
            <w:vMerge w:val="continue"/>
            <w:noWrap w:val="0"/>
            <w:vAlign w:val="center"/>
          </w:tcPr>
          <w:p w14:paraId="5470955C">
            <w:pPr>
              <w:pStyle w:val="45"/>
              <w:bidi w:val="0"/>
            </w:pPr>
          </w:p>
        </w:tc>
        <w:tc>
          <w:tcPr>
            <w:tcW w:w="779" w:type="pct"/>
            <w:vMerge w:val="continue"/>
            <w:noWrap w:val="0"/>
            <w:vAlign w:val="center"/>
          </w:tcPr>
          <w:p w14:paraId="35DCAB5C">
            <w:pPr>
              <w:pStyle w:val="45"/>
              <w:bidi w:val="0"/>
            </w:pPr>
          </w:p>
        </w:tc>
      </w:tr>
      <w:tr w14:paraId="0BCD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vMerge w:val="continue"/>
            <w:noWrap w:val="0"/>
            <w:vAlign w:val="center"/>
          </w:tcPr>
          <w:p w14:paraId="3998A2AD">
            <w:pPr>
              <w:pStyle w:val="45"/>
              <w:bidi w:val="0"/>
            </w:pPr>
          </w:p>
        </w:tc>
        <w:tc>
          <w:tcPr>
            <w:tcW w:w="616" w:type="pct"/>
            <w:vMerge w:val="continue"/>
            <w:noWrap w:val="0"/>
            <w:vAlign w:val="center"/>
          </w:tcPr>
          <w:p w14:paraId="38B2A00E">
            <w:pPr>
              <w:pStyle w:val="45"/>
              <w:bidi w:val="0"/>
            </w:pPr>
          </w:p>
        </w:tc>
        <w:tc>
          <w:tcPr>
            <w:tcW w:w="374" w:type="pct"/>
            <w:noWrap w:val="0"/>
            <w:vAlign w:val="center"/>
          </w:tcPr>
          <w:p w14:paraId="1171F56B">
            <w:pPr>
              <w:pStyle w:val="45"/>
              <w:bidi w:val="0"/>
            </w:pPr>
            <w:r>
              <w:t>卧式</w:t>
            </w:r>
          </w:p>
        </w:tc>
        <w:tc>
          <w:tcPr>
            <w:tcW w:w="291" w:type="pct"/>
            <w:noWrap w:val="0"/>
            <w:vAlign w:val="center"/>
          </w:tcPr>
          <w:p w14:paraId="0FFEA532">
            <w:pPr>
              <w:pStyle w:val="45"/>
              <w:bidi w:val="0"/>
            </w:pPr>
            <w:r>
              <w:rPr>
                <w:rFonts w:hint="eastAsia"/>
              </w:rPr>
              <w:t>1</w:t>
            </w:r>
          </w:p>
        </w:tc>
        <w:tc>
          <w:tcPr>
            <w:tcW w:w="993" w:type="pct"/>
            <w:noWrap w:val="0"/>
            <w:vAlign w:val="center"/>
          </w:tcPr>
          <w:p w14:paraId="4884FD49">
            <w:pPr>
              <w:pStyle w:val="45"/>
              <w:bidi w:val="0"/>
            </w:pPr>
            <w:r>
              <w:rPr>
                <w:rFonts w:hint="eastAsia"/>
              </w:rPr>
              <w:t>高沸物</w:t>
            </w:r>
            <w:r>
              <w:t>：3400×10000</w:t>
            </w:r>
          </w:p>
        </w:tc>
        <w:tc>
          <w:tcPr>
            <w:tcW w:w="407" w:type="pct"/>
            <w:noWrap w:val="0"/>
            <w:vAlign w:val="center"/>
          </w:tcPr>
          <w:p w14:paraId="6B6A7BDF">
            <w:pPr>
              <w:pStyle w:val="45"/>
              <w:bidi w:val="0"/>
            </w:pPr>
            <w:r>
              <w:rPr>
                <w:rFonts w:hint="eastAsia"/>
              </w:rPr>
              <w:t>1</w:t>
            </w:r>
            <w:r>
              <w:t>00</w:t>
            </w:r>
          </w:p>
        </w:tc>
        <w:tc>
          <w:tcPr>
            <w:tcW w:w="364" w:type="pct"/>
            <w:vMerge w:val="continue"/>
            <w:noWrap w:val="0"/>
            <w:vAlign w:val="center"/>
          </w:tcPr>
          <w:p w14:paraId="1D07FC53">
            <w:pPr>
              <w:pStyle w:val="45"/>
              <w:bidi w:val="0"/>
            </w:pPr>
          </w:p>
        </w:tc>
        <w:tc>
          <w:tcPr>
            <w:tcW w:w="445" w:type="pct"/>
            <w:noWrap w:val="0"/>
            <w:vAlign w:val="center"/>
          </w:tcPr>
          <w:p w14:paraId="44D82ADD">
            <w:pPr>
              <w:pStyle w:val="45"/>
              <w:bidi w:val="0"/>
            </w:pPr>
            <w:r>
              <w:t>碳钢</w:t>
            </w:r>
          </w:p>
        </w:tc>
        <w:tc>
          <w:tcPr>
            <w:tcW w:w="480" w:type="pct"/>
            <w:vMerge w:val="continue"/>
            <w:noWrap w:val="0"/>
            <w:vAlign w:val="center"/>
          </w:tcPr>
          <w:p w14:paraId="4881E675">
            <w:pPr>
              <w:pStyle w:val="45"/>
              <w:bidi w:val="0"/>
            </w:pPr>
          </w:p>
        </w:tc>
        <w:tc>
          <w:tcPr>
            <w:tcW w:w="779" w:type="pct"/>
            <w:vMerge w:val="continue"/>
            <w:noWrap w:val="0"/>
            <w:vAlign w:val="center"/>
          </w:tcPr>
          <w:p w14:paraId="3F6E11C8">
            <w:pPr>
              <w:pStyle w:val="45"/>
              <w:bidi w:val="0"/>
            </w:pPr>
          </w:p>
        </w:tc>
      </w:tr>
      <w:tr w14:paraId="475B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vMerge w:val="continue"/>
            <w:noWrap w:val="0"/>
            <w:vAlign w:val="center"/>
          </w:tcPr>
          <w:p w14:paraId="492D7BF7">
            <w:pPr>
              <w:pStyle w:val="45"/>
              <w:bidi w:val="0"/>
            </w:pPr>
          </w:p>
        </w:tc>
        <w:tc>
          <w:tcPr>
            <w:tcW w:w="616" w:type="pct"/>
            <w:vMerge w:val="continue"/>
            <w:noWrap w:val="0"/>
            <w:vAlign w:val="center"/>
          </w:tcPr>
          <w:p w14:paraId="3D0AE24C">
            <w:pPr>
              <w:pStyle w:val="45"/>
              <w:bidi w:val="0"/>
            </w:pPr>
          </w:p>
        </w:tc>
        <w:tc>
          <w:tcPr>
            <w:tcW w:w="374" w:type="pct"/>
            <w:noWrap w:val="0"/>
            <w:vAlign w:val="center"/>
          </w:tcPr>
          <w:p w14:paraId="33A4D241">
            <w:pPr>
              <w:pStyle w:val="45"/>
              <w:bidi w:val="0"/>
            </w:pPr>
            <w:r>
              <w:t>卧式</w:t>
            </w:r>
          </w:p>
        </w:tc>
        <w:tc>
          <w:tcPr>
            <w:tcW w:w="291" w:type="pct"/>
            <w:noWrap w:val="0"/>
            <w:vAlign w:val="center"/>
          </w:tcPr>
          <w:p w14:paraId="21016D81">
            <w:pPr>
              <w:pStyle w:val="45"/>
              <w:bidi w:val="0"/>
            </w:pPr>
            <w:r>
              <w:t>1</w:t>
            </w:r>
          </w:p>
        </w:tc>
        <w:tc>
          <w:tcPr>
            <w:tcW w:w="993" w:type="pct"/>
            <w:noWrap w:val="0"/>
            <w:vAlign w:val="center"/>
          </w:tcPr>
          <w:p w14:paraId="25BBF34A">
            <w:pPr>
              <w:pStyle w:val="45"/>
              <w:bidi w:val="0"/>
            </w:pPr>
            <w:r>
              <w:rPr>
                <w:rFonts w:hint="eastAsia"/>
              </w:rPr>
              <w:t>应急罐</w:t>
            </w:r>
            <w:r>
              <w:t>：3400×10000</w:t>
            </w:r>
          </w:p>
        </w:tc>
        <w:tc>
          <w:tcPr>
            <w:tcW w:w="407" w:type="pct"/>
            <w:noWrap w:val="0"/>
            <w:vAlign w:val="center"/>
          </w:tcPr>
          <w:p w14:paraId="5B4B3651">
            <w:pPr>
              <w:pStyle w:val="45"/>
              <w:bidi w:val="0"/>
            </w:pPr>
            <w:r>
              <w:rPr>
                <w:rFonts w:hint="eastAsia"/>
              </w:rPr>
              <w:t>1</w:t>
            </w:r>
            <w:r>
              <w:t>00</w:t>
            </w:r>
          </w:p>
        </w:tc>
        <w:tc>
          <w:tcPr>
            <w:tcW w:w="364" w:type="pct"/>
            <w:vMerge w:val="continue"/>
            <w:noWrap w:val="0"/>
            <w:vAlign w:val="center"/>
          </w:tcPr>
          <w:p w14:paraId="2E66F125">
            <w:pPr>
              <w:pStyle w:val="45"/>
              <w:bidi w:val="0"/>
            </w:pPr>
          </w:p>
        </w:tc>
        <w:tc>
          <w:tcPr>
            <w:tcW w:w="445" w:type="pct"/>
            <w:noWrap w:val="0"/>
            <w:vAlign w:val="center"/>
          </w:tcPr>
          <w:p w14:paraId="03A21785">
            <w:pPr>
              <w:pStyle w:val="45"/>
              <w:bidi w:val="0"/>
            </w:pPr>
            <w:r>
              <w:t>碳钢</w:t>
            </w:r>
          </w:p>
        </w:tc>
        <w:tc>
          <w:tcPr>
            <w:tcW w:w="480" w:type="pct"/>
            <w:vMerge w:val="continue"/>
            <w:noWrap w:val="0"/>
            <w:vAlign w:val="center"/>
          </w:tcPr>
          <w:p w14:paraId="71D10CA4">
            <w:pPr>
              <w:pStyle w:val="45"/>
              <w:bidi w:val="0"/>
            </w:pPr>
          </w:p>
        </w:tc>
        <w:tc>
          <w:tcPr>
            <w:tcW w:w="779" w:type="pct"/>
            <w:vMerge w:val="continue"/>
            <w:noWrap w:val="0"/>
            <w:vAlign w:val="center"/>
          </w:tcPr>
          <w:p w14:paraId="3CC3BCC8">
            <w:pPr>
              <w:pStyle w:val="45"/>
              <w:bidi w:val="0"/>
            </w:pPr>
          </w:p>
        </w:tc>
      </w:tr>
      <w:tr w14:paraId="3C06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noWrap w:val="0"/>
            <w:vAlign w:val="center"/>
          </w:tcPr>
          <w:p w14:paraId="599431B0">
            <w:pPr>
              <w:pStyle w:val="45"/>
              <w:bidi w:val="0"/>
            </w:pPr>
            <w:r>
              <w:t>3</w:t>
            </w:r>
          </w:p>
        </w:tc>
        <w:tc>
          <w:tcPr>
            <w:tcW w:w="616" w:type="pct"/>
            <w:noWrap w:val="0"/>
            <w:vAlign w:val="center"/>
          </w:tcPr>
          <w:p w14:paraId="77C2E893">
            <w:pPr>
              <w:pStyle w:val="45"/>
              <w:bidi w:val="0"/>
            </w:pPr>
            <w:r>
              <w:t>CTFE</w:t>
            </w:r>
            <w:r>
              <w:rPr>
                <w:rFonts w:hint="eastAsia"/>
                <w:lang w:val="en-US" w:eastAsia="zh-CN"/>
              </w:rPr>
              <w:t>埋地</w:t>
            </w:r>
            <w:r>
              <w:t>罐区</w:t>
            </w:r>
          </w:p>
        </w:tc>
        <w:tc>
          <w:tcPr>
            <w:tcW w:w="374" w:type="pct"/>
            <w:noWrap w:val="0"/>
            <w:vAlign w:val="center"/>
          </w:tcPr>
          <w:p w14:paraId="2524D16A">
            <w:pPr>
              <w:pStyle w:val="45"/>
              <w:bidi w:val="0"/>
            </w:pPr>
            <w:r>
              <w:t>卧式</w:t>
            </w:r>
          </w:p>
        </w:tc>
        <w:tc>
          <w:tcPr>
            <w:tcW w:w="291" w:type="pct"/>
            <w:noWrap w:val="0"/>
            <w:vAlign w:val="center"/>
          </w:tcPr>
          <w:p w14:paraId="62C0D460">
            <w:pPr>
              <w:pStyle w:val="45"/>
              <w:bidi w:val="0"/>
            </w:pPr>
            <w:r>
              <w:t>3</w:t>
            </w:r>
          </w:p>
        </w:tc>
        <w:tc>
          <w:tcPr>
            <w:tcW w:w="993" w:type="pct"/>
            <w:noWrap w:val="0"/>
            <w:vAlign w:val="center"/>
          </w:tcPr>
          <w:p w14:paraId="1C649872">
            <w:pPr>
              <w:pStyle w:val="45"/>
              <w:bidi w:val="0"/>
            </w:pPr>
            <w:r>
              <w:t>2</w:t>
            </w:r>
            <w:r>
              <w:rPr>
                <w:rFonts w:hint="eastAsia"/>
              </w:rPr>
              <w:t>8</w:t>
            </w:r>
            <w:r>
              <w:t>00×</w:t>
            </w:r>
            <w:r>
              <w:rPr>
                <w:rFonts w:hint="eastAsia"/>
              </w:rPr>
              <w:t>72</w:t>
            </w:r>
            <w:r>
              <w:t>00</w:t>
            </w:r>
          </w:p>
          <w:p w14:paraId="697F7C66">
            <w:pPr>
              <w:pStyle w:val="45"/>
              <w:bidi w:val="0"/>
            </w:pPr>
            <w:r>
              <w:rPr>
                <w:rFonts w:hint="eastAsia"/>
              </w:rPr>
              <w:t>(其中1个为应急罐)</w:t>
            </w:r>
          </w:p>
        </w:tc>
        <w:tc>
          <w:tcPr>
            <w:tcW w:w="407" w:type="pct"/>
            <w:noWrap w:val="0"/>
            <w:vAlign w:val="center"/>
          </w:tcPr>
          <w:p w14:paraId="361DB209">
            <w:pPr>
              <w:pStyle w:val="45"/>
              <w:bidi w:val="0"/>
            </w:pPr>
            <w:r>
              <w:rPr>
                <w:rFonts w:hint="eastAsia"/>
              </w:rPr>
              <w:t>50.6</w:t>
            </w:r>
            <w:r>
              <w:t>*3</w:t>
            </w:r>
          </w:p>
        </w:tc>
        <w:tc>
          <w:tcPr>
            <w:tcW w:w="364" w:type="pct"/>
            <w:noWrap w:val="0"/>
            <w:vAlign w:val="center"/>
          </w:tcPr>
          <w:p w14:paraId="51ED7600">
            <w:pPr>
              <w:pStyle w:val="45"/>
              <w:bidi w:val="0"/>
            </w:pPr>
            <w:r>
              <w:t>甲</w:t>
            </w:r>
          </w:p>
        </w:tc>
        <w:tc>
          <w:tcPr>
            <w:tcW w:w="445" w:type="pct"/>
            <w:noWrap w:val="0"/>
            <w:vAlign w:val="center"/>
          </w:tcPr>
          <w:p w14:paraId="1E8BF3C1">
            <w:pPr>
              <w:pStyle w:val="45"/>
              <w:bidi w:val="0"/>
            </w:pPr>
            <w:r>
              <w:t>不锈钢</w:t>
            </w:r>
          </w:p>
        </w:tc>
        <w:tc>
          <w:tcPr>
            <w:tcW w:w="480" w:type="pct"/>
            <w:noWrap w:val="0"/>
            <w:vAlign w:val="center"/>
          </w:tcPr>
          <w:p w14:paraId="0A06162D">
            <w:pPr>
              <w:pStyle w:val="45"/>
              <w:bidi w:val="0"/>
            </w:pPr>
            <w:r>
              <w:t>龙门吊东</w:t>
            </w:r>
            <w:r>
              <w:rPr>
                <w:rFonts w:hint="eastAsia"/>
              </w:rPr>
              <w:t>北</w:t>
            </w:r>
            <w:r>
              <w:t>侧</w:t>
            </w:r>
          </w:p>
        </w:tc>
        <w:tc>
          <w:tcPr>
            <w:tcW w:w="779" w:type="pct"/>
            <w:noWrap w:val="0"/>
            <w:vAlign w:val="center"/>
          </w:tcPr>
          <w:p w14:paraId="330853F4">
            <w:pPr>
              <w:pStyle w:val="45"/>
              <w:bidi w:val="0"/>
            </w:pPr>
            <w:r>
              <w:t>围堰、视频监控、气体泄漏浓度报警、火灾报警、紧急切断联锁等</w:t>
            </w:r>
          </w:p>
        </w:tc>
      </w:tr>
      <w:tr w14:paraId="1F73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noWrap w:val="0"/>
            <w:vAlign w:val="center"/>
          </w:tcPr>
          <w:p w14:paraId="22F772DE">
            <w:pPr>
              <w:pStyle w:val="45"/>
              <w:bidi w:val="0"/>
            </w:pPr>
            <w:r>
              <w:t>4</w:t>
            </w:r>
          </w:p>
        </w:tc>
        <w:tc>
          <w:tcPr>
            <w:tcW w:w="616" w:type="pct"/>
            <w:noWrap w:val="0"/>
            <w:vAlign w:val="center"/>
          </w:tcPr>
          <w:p w14:paraId="559B6B9B">
            <w:pPr>
              <w:pStyle w:val="45"/>
              <w:bidi w:val="0"/>
            </w:pPr>
            <w:r>
              <w:t>盐酸罐区</w:t>
            </w:r>
          </w:p>
        </w:tc>
        <w:tc>
          <w:tcPr>
            <w:tcW w:w="374" w:type="pct"/>
            <w:noWrap w:val="0"/>
            <w:vAlign w:val="center"/>
          </w:tcPr>
          <w:p w14:paraId="442A3644">
            <w:pPr>
              <w:pStyle w:val="45"/>
              <w:bidi w:val="0"/>
            </w:pPr>
            <w:r>
              <w:t>立式</w:t>
            </w:r>
          </w:p>
        </w:tc>
        <w:tc>
          <w:tcPr>
            <w:tcW w:w="291" w:type="pct"/>
            <w:noWrap w:val="0"/>
            <w:vAlign w:val="center"/>
          </w:tcPr>
          <w:p w14:paraId="73CF5963">
            <w:pPr>
              <w:pStyle w:val="45"/>
              <w:bidi w:val="0"/>
            </w:pPr>
            <w:r>
              <w:t>5</w:t>
            </w:r>
          </w:p>
        </w:tc>
        <w:tc>
          <w:tcPr>
            <w:tcW w:w="993" w:type="pct"/>
            <w:noWrap w:val="0"/>
            <w:vAlign w:val="center"/>
          </w:tcPr>
          <w:p w14:paraId="56DB62B9">
            <w:pPr>
              <w:pStyle w:val="45"/>
              <w:bidi w:val="0"/>
            </w:pPr>
            <w:r>
              <w:t>8500×8500</w:t>
            </w:r>
          </w:p>
        </w:tc>
        <w:tc>
          <w:tcPr>
            <w:tcW w:w="407" w:type="pct"/>
            <w:noWrap w:val="0"/>
            <w:vAlign w:val="center"/>
          </w:tcPr>
          <w:p w14:paraId="61193EB0">
            <w:pPr>
              <w:pStyle w:val="45"/>
              <w:bidi w:val="0"/>
            </w:pPr>
            <w:r>
              <w:t>428*5</w:t>
            </w:r>
          </w:p>
        </w:tc>
        <w:tc>
          <w:tcPr>
            <w:tcW w:w="364" w:type="pct"/>
            <w:noWrap w:val="0"/>
            <w:vAlign w:val="center"/>
          </w:tcPr>
          <w:p w14:paraId="1C897F88">
            <w:pPr>
              <w:pStyle w:val="45"/>
              <w:bidi w:val="0"/>
            </w:pPr>
            <w:r>
              <w:t>戊</w:t>
            </w:r>
          </w:p>
        </w:tc>
        <w:tc>
          <w:tcPr>
            <w:tcW w:w="445" w:type="pct"/>
            <w:noWrap w:val="0"/>
            <w:vAlign w:val="center"/>
          </w:tcPr>
          <w:p w14:paraId="172C51B2">
            <w:pPr>
              <w:pStyle w:val="45"/>
              <w:bidi w:val="0"/>
            </w:pPr>
            <w:r>
              <w:t>玻璃钢</w:t>
            </w:r>
          </w:p>
        </w:tc>
        <w:tc>
          <w:tcPr>
            <w:tcW w:w="480" w:type="pct"/>
            <w:noWrap w:val="0"/>
            <w:vAlign w:val="center"/>
          </w:tcPr>
          <w:p w14:paraId="3C6B1BA0">
            <w:pPr>
              <w:pStyle w:val="45"/>
              <w:bidi w:val="0"/>
            </w:pPr>
            <w:r>
              <w:t>F113车间</w:t>
            </w:r>
            <w:r>
              <w:rPr>
                <w:rFonts w:hint="eastAsia"/>
                <w:lang w:val="en-US" w:eastAsia="zh-CN"/>
              </w:rPr>
              <w:t>东</w:t>
            </w:r>
            <w:r>
              <w:t>南侧</w:t>
            </w:r>
          </w:p>
        </w:tc>
        <w:tc>
          <w:tcPr>
            <w:tcW w:w="779" w:type="pct"/>
            <w:noWrap w:val="0"/>
            <w:vAlign w:val="center"/>
          </w:tcPr>
          <w:p w14:paraId="51DCB42E">
            <w:pPr>
              <w:pStyle w:val="45"/>
              <w:bidi w:val="0"/>
            </w:pPr>
            <w:r>
              <w:t>围堰、尾气吸收</w:t>
            </w:r>
          </w:p>
        </w:tc>
      </w:tr>
      <w:tr w14:paraId="4342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restart"/>
            <w:noWrap w:val="0"/>
            <w:vAlign w:val="center"/>
          </w:tcPr>
          <w:p w14:paraId="2F20AD7C">
            <w:pPr>
              <w:pStyle w:val="45"/>
              <w:bidi w:val="0"/>
            </w:pPr>
            <w:r>
              <w:t>5</w:t>
            </w:r>
          </w:p>
        </w:tc>
        <w:tc>
          <w:tcPr>
            <w:tcW w:w="616" w:type="pct"/>
            <w:vMerge w:val="restart"/>
            <w:noWrap w:val="0"/>
            <w:vAlign w:val="center"/>
          </w:tcPr>
          <w:p w14:paraId="407F5983">
            <w:pPr>
              <w:pStyle w:val="45"/>
              <w:bidi w:val="0"/>
              <w:rPr>
                <w:rFonts w:hint="eastAsia"/>
                <w:lang w:eastAsia="zh-CN"/>
              </w:rPr>
            </w:pPr>
            <w:r>
              <w:rPr>
                <w:lang w:val="zh-CN" w:eastAsia="zh-CN"/>
              </w:rPr>
              <w:t>戊类罐区</w:t>
            </w:r>
            <w:r>
              <w:rPr>
                <w:rFonts w:hint="eastAsia"/>
                <w:lang w:val="zh-CN" w:eastAsia="zh-CN"/>
              </w:rPr>
              <w:t>（</w:t>
            </w:r>
            <w:r>
              <w:t>HFP</w:t>
            </w:r>
            <w:r>
              <w:rPr>
                <w:rFonts w:hint="eastAsia"/>
              </w:rPr>
              <w:t>、</w:t>
            </w:r>
            <w:r>
              <w:t>盐酸</w:t>
            </w:r>
            <w:r>
              <w:rPr>
                <w:rFonts w:hint="eastAsia"/>
              </w:rPr>
              <w:t>、</w:t>
            </w:r>
            <w:r>
              <w:t>F22</w:t>
            </w:r>
            <w:r>
              <w:rPr>
                <w:rFonts w:hint="eastAsia"/>
              </w:rPr>
              <w:t>、</w:t>
            </w:r>
            <w:r>
              <w:t>碱液</w:t>
            </w:r>
            <w:r>
              <w:rPr>
                <w:rFonts w:hint="eastAsia"/>
                <w:lang w:eastAsia="zh-CN"/>
              </w:rPr>
              <w:t>）</w:t>
            </w:r>
          </w:p>
        </w:tc>
        <w:tc>
          <w:tcPr>
            <w:tcW w:w="374" w:type="pct"/>
            <w:vMerge w:val="restart"/>
            <w:noWrap w:val="0"/>
            <w:vAlign w:val="center"/>
          </w:tcPr>
          <w:p w14:paraId="42695B1F">
            <w:pPr>
              <w:pStyle w:val="45"/>
              <w:bidi w:val="0"/>
            </w:pPr>
          </w:p>
          <w:p w14:paraId="7F8562EC">
            <w:pPr>
              <w:pStyle w:val="45"/>
              <w:bidi w:val="0"/>
            </w:pPr>
            <w:r>
              <w:t>立式</w:t>
            </w:r>
          </w:p>
          <w:p w14:paraId="1D867FED">
            <w:pPr>
              <w:pStyle w:val="45"/>
              <w:bidi w:val="0"/>
            </w:pPr>
            <w:r>
              <w:t>立式</w:t>
            </w:r>
          </w:p>
          <w:p w14:paraId="5B4A520C">
            <w:pPr>
              <w:pStyle w:val="45"/>
              <w:bidi w:val="0"/>
            </w:pPr>
            <w:r>
              <w:t>立式</w:t>
            </w:r>
          </w:p>
          <w:p w14:paraId="113DBE4A">
            <w:pPr>
              <w:pStyle w:val="45"/>
              <w:bidi w:val="0"/>
            </w:pPr>
            <w:r>
              <w:t>立式</w:t>
            </w:r>
          </w:p>
        </w:tc>
        <w:tc>
          <w:tcPr>
            <w:tcW w:w="291" w:type="pct"/>
            <w:noWrap w:val="0"/>
            <w:vAlign w:val="center"/>
          </w:tcPr>
          <w:p w14:paraId="48FF68DB">
            <w:pPr>
              <w:pStyle w:val="45"/>
              <w:bidi w:val="0"/>
            </w:pPr>
            <w:r>
              <w:t>4</w:t>
            </w:r>
          </w:p>
        </w:tc>
        <w:tc>
          <w:tcPr>
            <w:tcW w:w="993" w:type="pct"/>
            <w:noWrap w:val="0"/>
            <w:vAlign w:val="center"/>
          </w:tcPr>
          <w:p w14:paraId="0EDFC340">
            <w:pPr>
              <w:pStyle w:val="45"/>
              <w:bidi w:val="0"/>
            </w:pPr>
            <w:r>
              <w:t>3200×16000</w:t>
            </w:r>
          </w:p>
        </w:tc>
        <w:tc>
          <w:tcPr>
            <w:tcW w:w="407" w:type="pct"/>
            <w:noWrap w:val="0"/>
            <w:vAlign w:val="center"/>
          </w:tcPr>
          <w:p w14:paraId="454CA18E">
            <w:pPr>
              <w:pStyle w:val="45"/>
              <w:bidi w:val="0"/>
            </w:pPr>
            <w:r>
              <w:t>130*4</w:t>
            </w:r>
          </w:p>
        </w:tc>
        <w:tc>
          <w:tcPr>
            <w:tcW w:w="364" w:type="pct"/>
            <w:vMerge w:val="restart"/>
            <w:noWrap w:val="0"/>
            <w:vAlign w:val="center"/>
          </w:tcPr>
          <w:p w14:paraId="1726EBC6">
            <w:pPr>
              <w:pStyle w:val="45"/>
              <w:bidi w:val="0"/>
            </w:pPr>
            <w:r>
              <w:t>戊</w:t>
            </w:r>
          </w:p>
        </w:tc>
        <w:tc>
          <w:tcPr>
            <w:tcW w:w="445" w:type="pct"/>
            <w:noWrap w:val="0"/>
            <w:vAlign w:val="center"/>
          </w:tcPr>
          <w:p w14:paraId="6092C4A0">
            <w:pPr>
              <w:pStyle w:val="45"/>
              <w:bidi w:val="0"/>
            </w:pPr>
            <w:r>
              <w:t>碳钢</w:t>
            </w:r>
          </w:p>
        </w:tc>
        <w:tc>
          <w:tcPr>
            <w:tcW w:w="480" w:type="pct"/>
            <w:vMerge w:val="restart"/>
            <w:noWrap w:val="0"/>
            <w:vAlign w:val="center"/>
          </w:tcPr>
          <w:p w14:paraId="5A67FFE1">
            <w:pPr>
              <w:pStyle w:val="45"/>
              <w:bidi w:val="0"/>
            </w:pPr>
            <w:r>
              <w:t>HFP车间西侧</w:t>
            </w:r>
          </w:p>
        </w:tc>
        <w:tc>
          <w:tcPr>
            <w:tcW w:w="779" w:type="pct"/>
            <w:vMerge w:val="restart"/>
            <w:noWrap w:val="0"/>
            <w:vAlign w:val="center"/>
          </w:tcPr>
          <w:p w14:paraId="349E3C1E">
            <w:pPr>
              <w:pStyle w:val="45"/>
              <w:bidi w:val="0"/>
            </w:pPr>
            <w:r>
              <w:t>围堰、尾气吸收</w:t>
            </w:r>
          </w:p>
        </w:tc>
      </w:tr>
      <w:tr w14:paraId="487E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continue"/>
            <w:noWrap w:val="0"/>
            <w:vAlign w:val="center"/>
          </w:tcPr>
          <w:p w14:paraId="0C2BA7A2">
            <w:pPr>
              <w:pStyle w:val="45"/>
              <w:bidi w:val="0"/>
            </w:pPr>
          </w:p>
        </w:tc>
        <w:tc>
          <w:tcPr>
            <w:tcW w:w="616" w:type="pct"/>
            <w:vMerge w:val="continue"/>
            <w:noWrap w:val="0"/>
            <w:vAlign w:val="center"/>
          </w:tcPr>
          <w:p w14:paraId="4D285A13">
            <w:pPr>
              <w:pStyle w:val="45"/>
              <w:bidi w:val="0"/>
            </w:pPr>
          </w:p>
        </w:tc>
        <w:tc>
          <w:tcPr>
            <w:tcW w:w="374" w:type="pct"/>
            <w:vMerge w:val="continue"/>
            <w:noWrap w:val="0"/>
            <w:vAlign w:val="center"/>
          </w:tcPr>
          <w:p w14:paraId="6298D23D">
            <w:pPr>
              <w:pStyle w:val="45"/>
              <w:bidi w:val="0"/>
            </w:pPr>
          </w:p>
        </w:tc>
        <w:tc>
          <w:tcPr>
            <w:tcW w:w="291" w:type="pct"/>
            <w:noWrap w:val="0"/>
            <w:vAlign w:val="center"/>
          </w:tcPr>
          <w:p w14:paraId="70E1E601">
            <w:pPr>
              <w:pStyle w:val="45"/>
              <w:bidi w:val="0"/>
            </w:pPr>
            <w:r>
              <w:t>3</w:t>
            </w:r>
          </w:p>
        </w:tc>
        <w:tc>
          <w:tcPr>
            <w:tcW w:w="993" w:type="pct"/>
            <w:noWrap w:val="0"/>
            <w:vAlign w:val="center"/>
          </w:tcPr>
          <w:p w14:paraId="4FA55743">
            <w:pPr>
              <w:pStyle w:val="45"/>
              <w:bidi w:val="0"/>
            </w:pPr>
            <w:r>
              <w:t>7500×7500</w:t>
            </w:r>
          </w:p>
        </w:tc>
        <w:tc>
          <w:tcPr>
            <w:tcW w:w="407" w:type="pct"/>
            <w:noWrap w:val="0"/>
            <w:vAlign w:val="center"/>
          </w:tcPr>
          <w:p w14:paraId="76440C2A">
            <w:pPr>
              <w:pStyle w:val="45"/>
              <w:bidi w:val="0"/>
            </w:pPr>
            <w:r>
              <w:t>300*3</w:t>
            </w:r>
          </w:p>
        </w:tc>
        <w:tc>
          <w:tcPr>
            <w:tcW w:w="364" w:type="pct"/>
            <w:vMerge w:val="continue"/>
            <w:noWrap w:val="0"/>
            <w:vAlign w:val="center"/>
          </w:tcPr>
          <w:p w14:paraId="3AB4B94B">
            <w:pPr>
              <w:pStyle w:val="45"/>
              <w:bidi w:val="0"/>
            </w:pPr>
          </w:p>
        </w:tc>
        <w:tc>
          <w:tcPr>
            <w:tcW w:w="445" w:type="pct"/>
            <w:noWrap w:val="0"/>
            <w:vAlign w:val="center"/>
          </w:tcPr>
          <w:p w14:paraId="7D56ABD3">
            <w:pPr>
              <w:pStyle w:val="45"/>
              <w:bidi w:val="0"/>
            </w:pPr>
            <w:r>
              <w:t>玻璃钢</w:t>
            </w:r>
          </w:p>
        </w:tc>
        <w:tc>
          <w:tcPr>
            <w:tcW w:w="480" w:type="pct"/>
            <w:vMerge w:val="continue"/>
            <w:noWrap w:val="0"/>
            <w:vAlign w:val="center"/>
          </w:tcPr>
          <w:p w14:paraId="1D43728E">
            <w:pPr>
              <w:pStyle w:val="45"/>
              <w:bidi w:val="0"/>
            </w:pPr>
          </w:p>
        </w:tc>
        <w:tc>
          <w:tcPr>
            <w:tcW w:w="779" w:type="pct"/>
            <w:vMerge w:val="continue"/>
            <w:noWrap w:val="0"/>
            <w:vAlign w:val="center"/>
          </w:tcPr>
          <w:p w14:paraId="47F67E62">
            <w:pPr>
              <w:pStyle w:val="45"/>
              <w:bidi w:val="0"/>
            </w:pPr>
          </w:p>
        </w:tc>
      </w:tr>
      <w:tr w14:paraId="1853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continue"/>
            <w:noWrap w:val="0"/>
            <w:vAlign w:val="center"/>
          </w:tcPr>
          <w:p w14:paraId="10C64A95">
            <w:pPr>
              <w:pStyle w:val="45"/>
              <w:bidi w:val="0"/>
            </w:pPr>
          </w:p>
        </w:tc>
        <w:tc>
          <w:tcPr>
            <w:tcW w:w="616" w:type="pct"/>
            <w:vMerge w:val="continue"/>
            <w:noWrap w:val="0"/>
            <w:vAlign w:val="center"/>
          </w:tcPr>
          <w:p w14:paraId="6D43418D">
            <w:pPr>
              <w:pStyle w:val="45"/>
              <w:bidi w:val="0"/>
            </w:pPr>
          </w:p>
        </w:tc>
        <w:tc>
          <w:tcPr>
            <w:tcW w:w="374" w:type="pct"/>
            <w:vMerge w:val="continue"/>
            <w:noWrap w:val="0"/>
            <w:vAlign w:val="center"/>
          </w:tcPr>
          <w:p w14:paraId="458FF2DC">
            <w:pPr>
              <w:pStyle w:val="45"/>
              <w:bidi w:val="0"/>
            </w:pPr>
          </w:p>
        </w:tc>
        <w:tc>
          <w:tcPr>
            <w:tcW w:w="291" w:type="pct"/>
            <w:noWrap w:val="0"/>
            <w:vAlign w:val="center"/>
          </w:tcPr>
          <w:p w14:paraId="48DBBAFE">
            <w:pPr>
              <w:pStyle w:val="45"/>
              <w:bidi w:val="0"/>
            </w:pPr>
            <w:r>
              <w:t>4</w:t>
            </w:r>
          </w:p>
        </w:tc>
        <w:tc>
          <w:tcPr>
            <w:tcW w:w="993" w:type="pct"/>
            <w:noWrap w:val="0"/>
            <w:vAlign w:val="center"/>
          </w:tcPr>
          <w:p w14:paraId="4964C559">
            <w:pPr>
              <w:pStyle w:val="45"/>
              <w:bidi w:val="0"/>
            </w:pPr>
            <w:r>
              <w:t>3200×16000</w:t>
            </w:r>
          </w:p>
        </w:tc>
        <w:tc>
          <w:tcPr>
            <w:tcW w:w="407" w:type="pct"/>
            <w:noWrap w:val="0"/>
            <w:vAlign w:val="center"/>
          </w:tcPr>
          <w:p w14:paraId="377850CA">
            <w:pPr>
              <w:pStyle w:val="45"/>
              <w:bidi w:val="0"/>
            </w:pPr>
            <w:r>
              <w:t>130*4</w:t>
            </w:r>
          </w:p>
        </w:tc>
        <w:tc>
          <w:tcPr>
            <w:tcW w:w="364" w:type="pct"/>
            <w:vMerge w:val="continue"/>
            <w:noWrap w:val="0"/>
            <w:vAlign w:val="center"/>
          </w:tcPr>
          <w:p w14:paraId="6CCF4E79">
            <w:pPr>
              <w:pStyle w:val="45"/>
              <w:bidi w:val="0"/>
            </w:pPr>
          </w:p>
        </w:tc>
        <w:tc>
          <w:tcPr>
            <w:tcW w:w="445" w:type="pct"/>
            <w:noWrap w:val="0"/>
            <w:vAlign w:val="center"/>
          </w:tcPr>
          <w:p w14:paraId="4E8FF0DC">
            <w:pPr>
              <w:pStyle w:val="45"/>
              <w:bidi w:val="0"/>
            </w:pPr>
            <w:r>
              <w:t>碳钢</w:t>
            </w:r>
          </w:p>
        </w:tc>
        <w:tc>
          <w:tcPr>
            <w:tcW w:w="480" w:type="pct"/>
            <w:vMerge w:val="continue"/>
            <w:noWrap w:val="0"/>
            <w:vAlign w:val="center"/>
          </w:tcPr>
          <w:p w14:paraId="7EC0BCED">
            <w:pPr>
              <w:pStyle w:val="45"/>
              <w:bidi w:val="0"/>
            </w:pPr>
          </w:p>
        </w:tc>
        <w:tc>
          <w:tcPr>
            <w:tcW w:w="779" w:type="pct"/>
            <w:vMerge w:val="continue"/>
            <w:noWrap w:val="0"/>
            <w:vAlign w:val="center"/>
          </w:tcPr>
          <w:p w14:paraId="798D2E35">
            <w:pPr>
              <w:pStyle w:val="45"/>
              <w:bidi w:val="0"/>
            </w:pPr>
          </w:p>
        </w:tc>
      </w:tr>
      <w:tr w14:paraId="7E95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continue"/>
            <w:noWrap w:val="0"/>
            <w:vAlign w:val="center"/>
          </w:tcPr>
          <w:p w14:paraId="2BA875C4">
            <w:pPr>
              <w:pStyle w:val="45"/>
              <w:bidi w:val="0"/>
            </w:pPr>
          </w:p>
        </w:tc>
        <w:tc>
          <w:tcPr>
            <w:tcW w:w="616" w:type="pct"/>
            <w:vMerge w:val="continue"/>
            <w:noWrap w:val="0"/>
            <w:vAlign w:val="center"/>
          </w:tcPr>
          <w:p w14:paraId="75814655">
            <w:pPr>
              <w:pStyle w:val="45"/>
              <w:bidi w:val="0"/>
            </w:pPr>
          </w:p>
        </w:tc>
        <w:tc>
          <w:tcPr>
            <w:tcW w:w="374" w:type="pct"/>
            <w:vMerge w:val="continue"/>
            <w:noWrap w:val="0"/>
            <w:vAlign w:val="center"/>
          </w:tcPr>
          <w:p w14:paraId="7131C4E4">
            <w:pPr>
              <w:pStyle w:val="45"/>
              <w:bidi w:val="0"/>
            </w:pPr>
          </w:p>
        </w:tc>
        <w:tc>
          <w:tcPr>
            <w:tcW w:w="291" w:type="pct"/>
            <w:noWrap w:val="0"/>
            <w:vAlign w:val="center"/>
          </w:tcPr>
          <w:p w14:paraId="6F8A70B7">
            <w:pPr>
              <w:pStyle w:val="45"/>
              <w:bidi w:val="0"/>
            </w:pPr>
            <w:r>
              <w:t>1</w:t>
            </w:r>
          </w:p>
        </w:tc>
        <w:tc>
          <w:tcPr>
            <w:tcW w:w="993" w:type="pct"/>
            <w:noWrap w:val="0"/>
            <w:vAlign w:val="center"/>
          </w:tcPr>
          <w:p w14:paraId="3DFFAF93">
            <w:pPr>
              <w:pStyle w:val="45"/>
              <w:bidi w:val="0"/>
            </w:pPr>
            <w:r>
              <w:t>4200×7200</w:t>
            </w:r>
          </w:p>
        </w:tc>
        <w:tc>
          <w:tcPr>
            <w:tcW w:w="407" w:type="pct"/>
            <w:noWrap w:val="0"/>
            <w:vAlign w:val="center"/>
          </w:tcPr>
          <w:p w14:paraId="468EF063">
            <w:pPr>
              <w:pStyle w:val="45"/>
              <w:bidi w:val="0"/>
            </w:pPr>
            <w:r>
              <w:t>100*1</w:t>
            </w:r>
          </w:p>
        </w:tc>
        <w:tc>
          <w:tcPr>
            <w:tcW w:w="364" w:type="pct"/>
            <w:vMerge w:val="continue"/>
            <w:noWrap w:val="0"/>
            <w:vAlign w:val="center"/>
          </w:tcPr>
          <w:p w14:paraId="6DA63AAF">
            <w:pPr>
              <w:pStyle w:val="45"/>
              <w:bidi w:val="0"/>
            </w:pPr>
          </w:p>
        </w:tc>
        <w:tc>
          <w:tcPr>
            <w:tcW w:w="445" w:type="pct"/>
            <w:noWrap w:val="0"/>
            <w:vAlign w:val="center"/>
          </w:tcPr>
          <w:p w14:paraId="038EC4BB">
            <w:pPr>
              <w:pStyle w:val="45"/>
              <w:bidi w:val="0"/>
            </w:pPr>
            <w:r>
              <w:t>碳钢</w:t>
            </w:r>
          </w:p>
        </w:tc>
        <w:tc>
          <w:tcPr>
            <w:tcW w:w="480" w:type="pct"/>
            <w:vMerge w:val="continue"/>
            <w:noWrap w:val="0"/>
            <w:vAlign w:val="center"/>
          </w:tcPr>
          <w:p w14:paraId="2ADF2340">
            <w:pPr>
              <w:pStyle w:val="45"/>
              <w:bidi w:val="0"/>
            </w:pPr>
          </w:p>
        </w:tc>
        <w:tc>
          <w:tcPr>
            <w:tcW w:w="779" w:type="pct"/>
            <w:vMerge w:val="continue"/>
            <w:noWrap w:val="0"/>
            <w:vAlign w:val="center"/>
          </w:tcPr>
          <w:p w14:paraId="26B3889D">
            <w:pPr>
              <w:pStyle w:val="45"/>
              <w:bidi w:val="0"/>
            </w:pPr>
          </w:p>
        </w:tc>
      </w:tr>
      <w:tr w14:paraId="6876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restart"/>
            <w:noWrap w:val="0"/>
            <w:vAlign w:val="center"/>
          </w:tcPr>
          <w:p w14:paraId="2BDC8BE0">
            <w:pPr>
              <w:pStyle w:val="45"/>
              <w:bidi w:val="0"/>
              <w:rPr>
                <w:rFonts w:hint="eastAsia"/>
                <w:lang w:val="en-US" w:eastAsia="zh-CN"/>
              </w:rPr>
            </w:pPr>
            <w:r>
              <w:rPr>
                <w:rFonts w:hint="eastAsia"/>
                <w:lang w:val="en-US" w:eastAsia="zh-CN"/>
              </w:rPr>
              <w:t>6</w:t>
            </w:r>
          </w:p>
        </w:tc>
        <w:tc>
          <w:tcPr>
            <w:tcW w:w="616" w:type="pct"/>
            <w:vMerge w:val="restart"/>
            <w:noWrap w:val="0"/>
            <w:vAlign w:val="center"/>
          </w:tcPr>
          <w:p w14:paraId="099DA364">
            <w:pPr>
              <w:pStyle w:val="45"/>
              <w:bidi w:val="0"/>
              <w:rPr>
                <w:rFonts w:hint="default"/>
                <w:lang w:val="en-US"/>
              </w:rPr>
            </w:pPr>
            <w:r>
              <w:rPr>
                <w:lang w:val="zh-CN" w:eastAsia="zh-CN"/>
              </w:rPr>
              <w:t>液化烃罐区</w:t>
            </w:r>
          </w:p>
        </w:tc>
        <w:tc>
          <w:tcPr>
            <w:tcW w:w="374" w:type="pct"/>
            <w:noWrap w:val="0"/>
            <w:vAlign w:val="center"/>
          </w:tcPr>
          <w:p w14:paraId="5D9DED63">
            <w:pPr>
              <w:pStyle w:val="45"/>
              <w:bidi w:val="0"/>
            </w:pPr>
            <w:r>
              <w:rPr>
                <w:rFonts w:hint="eastAsia"/>
              </w:rPr>
              <w:t>卧式</w:t>
            </w:r>
          </w:p>
        </w:tc>
        <w:tc>
          <w:tcPr>
            <w:tcW w:w="291" w:type="pct"/>
            <w:noWrap w:val="0"/>
            <w:vAlign w:val="center"/>
          </w:tcPr>
          <w:p w14:paraId="3C472D60">
            <w:pPr>
              <w:pStyle w:val="45"/>
              <w:bidi w:val="0"/>
              <w:rPr>
                <w:rFonts w:hint="eastAsia"/>
                <w:lang w:val="en-US" w:eastAsia="zh-CN"/>
              </w:rPr>
            </w:pPr>
            <w:r>
              <w:rPr>
                <w:rFonts w:hint="eastAsia"/>
                <w:lang w:val="en-US" w:eastAsia="zh-CN"/>
              </w:rPr>
              <w:t>3</w:t>
            </w:r>
          </w:p>
        </w:tc>
        <w:tc>
          <w:tcPr>
            <w:tcW w:w="993" w:type="pct"/>
            <w:noWrap w:val="0"/>
            <w:vAlign w:val="center"/>
          </w:tcPr>
          <w:p w14:paraId="2849709C">
            <w:pPr>
              <w:pStyle w:val="45"/>
              <w:bidi w:val="0"/>
              <w:rPr>
                <w:rFonts w:hint="default"/>
                <w:lang w:val="en-US" w:eastAsia="zh-CN"/>
              </w:rPr>
            </w:pPr>
            <w:r>
              <w:rPr>
                <w:rFonts w:hint="eastAsia"/>
                <w:lang w:val="en-US" w:eastAsia="zh-CN"/>
              </w:rPr>
              <w:t>VDF</w:t>
            </w:r>
            <w:r>
              <w:t>：</w:t>
            </w:r>
            <w:r>
              <w:rPr>
                <w:rFonts w:hint="eastAsia"/>
                <w:lang w:val="en-US" w:eastAsia="zh-CN"/>
              </w:rPr>
              <w:t>28</w:t>
            </w:r>
            <w:r>
              <w:t>00×1</w:t>
            </w:r>
            <w:r>
              <w:rPr>
                <w:rFonts w:hint="eastAsia"/>
                <w:lang w:val="en-US" w:eastAsia="zh-CN"/>
              </w:rPr>
              <w:t>1216</w:t>
            </w:r>
          </w:p>
        </w:tc>
        <w:tc>
          <w:tcPr>
            <w:tcW w:w="407" w:type="pct"/>
            <w:noWrap w:val="0"/>
            <w:vAlign w:val="center"/>
          </w:tcPr>
          <w:p w14:paraId="2A909AD5">
            <w:pPr>
              <w:pStyle w:val="45"/>
              <w:bidi w:val="0"/>
              <w:rPr>
                <w:rFonts w:hint="default"/>
                <w:lang w:val="en-US" w:eastAsia="zh-CN"/>
              </w:rPr>
            </w:pPr>
            <w:r>
              <w:rPr>
                <w:rFonts w:hint="eastAsia"/>
                <w:lang w:val="en-US" w:eastAsia="zh-CN"/>
              </w:rPr>
              <w:t>65*3</w:t>
            </w:r>
          </w:p>
        </w:tc>
        <w:tc>
          <w:tcPr>
            <w:tcW w:w="364" w:type="pct"/>
            <w:vMerge w:val="restart"/>
            <w:noWrap w:val="0"/>
            <w:vAlign w:val="center"/>
          </w:tcPr>
          <w:p w14:paraId="17F18460">
            <w:pPr>
              <w:pStyle w:val="45"/>
              <w:bidi w:val="0"/>
              <w:rPr>
                <w:rFonts w:hint="default"/>
                <w:lang w:val="en-US" w:eastAsia="zh-CN"/>
              </w:rPr>
            </w:pPr>
            <w:r>
              <w:rPr>
                <w:rFonts w:hint="eastAsia"/>
                <w:lang w:val="en-US" w:eastAsia="zh-CN"/>
              </w:rPr>
              <w:t>甲</w:t>
            </w:r>
          </w:p>
        </w:tc>
        <w:tc>
          <w:tcPr>
            <w:tcW w:w="445" w:type="pct"/>
            <w:noWrap w:val="0"/>
            <w:vAlign w:val="center"/>
          </w:tcPr>
          <w:p w14:paraId="77C275A7">
            <w:pPr>
              <w:pStyle w:val="45"/>
              <w:bidi w:val="0"/>
              <w:rPr>
                <w:rFonts w:hint="eastAsia"/>
                <w:lang w:eastAsia="zh-CN"/>
              </w:rPr>
            </w:pPr>
            <w:r>
              <w:rPr>
                <w:rFonts w:hint="eastAsia"/>
                <w:lang w:val="en-US" w:eastAsia="zh-CN"/>
              </w:rPr>
              <w:t>不锈钢</w:t>
            </w:r>
          </w:p>
        </w:tc>
        <w:tc>
          <w:tcPr>
            <w:tcW w:w="480" w:type="pct"/>
            <w:vMerge w:val="restart"/>
            <w:noWrap w:val="0"/>
            <w:vAlign w:val="center"/>
          </w:tcPr>
          <w:p w14:paraId="4E2DB4E4">
            <w:pPr>
              <w:pStyle w:val="45"/>
              <w:bidi w:val="0"/>
              <w:rPr>
                <w:rFonts w:hint="default"/>
                <w:lang w:val="en-US" w:eastAsia="zh-CN"/>
              </w:rPr>
            </w:pPr>
            <w:r>
              <w:rPr>
                <w:rFonts w:hint="eastAsia"/>
                <w:lang w:val="en-US" w:eastAsia="zh-CN"/>
              </w:rPr>
              <w:t>VDF装置西侧</w:t>
            </w:r>
          </w:p>
        </w:tc>
        <w:tc>
          <w:tcPr>
            <w:tcW w:w="779" w:type="pct"/>
            <w:vMerge w:val="restart"/>
            <w:noWrap w:val="0"/>
            <w:vAlign w:val="center"/>
          </w:tcPr>
          <w:p w14:paraId="09F18FD1">
            <w:pPr>
              <w:pStyle w:val="45"/>
              <w:bidi w:val="0"/>
            </w:pPr>
            <w:r>
              <w:t>围堰、视频监控、气体泄漏浓度报警、火灾报警、紧急切断联锁等</w:t>
            </w:r>
          </w:p>
        </w:tc>
      </w:tr>
      <w:tr w14:paraId="1AB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continue"/>
            <w:noWrap w:val="0"/>
            <w:vAlign w:val="center"/>
          </w:tcPr>
          <w:p w14:paraId="20DFC319">
            <w:pPr>
              <w:pStyle w:val="45"/>
              <w:bidi w:val="0"/>
            </w:pPr>
          </w:p>
        </w:tc>
        <w:tc>
          <w:tcPr>
            <w:tcW w:w="616" w:type="pct"/>
            <w:vMerge w:val="continue"/>
            <w:noWrap w:val="0"/>
            <w:vAlign w:val="center"/>
          </w:tcPr>
          <w:p w14:paraId="4A4C7159">
            <w:pPr>
              <w:pStyle w:val="45"/>
              <w:bidi w:val="0"/>
            </w:pPr>
          </w:p>
        </w:tc>
        <w:tc>
          <w:tcPr>
            <w:tcW w:w="374" w:type="pct"/>
            <w:noWrap w:val="0"/>
            <w:vAlign w:val="center"/>
          </w:tcPr>
          <w:p w14:paraId="26C73B22">
            <w:pPr>
              <w:pStyle w:val="45"/>
              <w:bidi w:val="0"/>
            </w:pPr>
            <w:r>
              <w:rPr>
                <w:rFonts w:hint="eastAsia"/>
              </w:rPr>
              <w:t>卧式</w:t>
            </w:r>
          </w:p>
        </w:tc>
        <w:tc>
          <w:tcPr>
            <w:tcW w:w="291" w:type="pct"/>
            <w:noWrap w:val="0"/>
            <w:vAlign w:val="center"/>
          </w:tcPr>
          <w:p w14:paraId="3A67D887">
            <w:pPr>
              <w:pStyle w:val="45"/>
              <w:bidi w:val="0"/>
              <w:rPr>
                <w:rFonts w:hint="eastAsia"/>
                <w:lang w:val="en-US" w:eastAsia="zh-CN"/>
              </w:rPr>
            </w:pPr>
            <w:r>
              <w:rPr>
                <w:rFonts w:hint="eastAsia"/>
                <w:lang w:val="en-US" w:eastAsia="zh-CN"/>
              </w:rPr>
              <w:t>1</w:t>
            </w:r>
          </w:p>
        </w:tc>
        <w:tc>
          <w:tcPr>
            <w:tcW w:w="993" w:type="pct"/>
            <w:noWrap w:val="0"/>
            <w:vAlign w:val="center"/>
          </w:tcPr>
          <w:p w14:paraId="4D133CAC">
            <w:pPr>
              <w:pStyle w:val="45"/>
              <w:bidi w:val="0"/>
              <w:rPr>
                <w:rFonts w:hint="default"/>
                <w:lang w:val="en-US" w:eastAsia="zh-CN"/>
              </w:rPr>
            </w:pPr>
            <w:r>
              <w:rPr>
                <w:rFonts w:hint="eastAsia"/>
                <w:lang w:val="en-US" w:eastAsia="zh-CN"/>
              </w:rPr>
              <w:t>应急</w:t>
            </w:r>
            <w:r>
              <w:t>：</w:t>
            </w:r>
            <w:r>
              <w:rPr>
                <w:rFonts w:hint="eastAsia"/>
                <w:lang w:val="en-US" w:eastAsia="zh-CN"/>
              </w:rPr>
              <w:t>28</w:t>
            </w:r>
            <w:r>
              <w:t>00×</w:t>
            </w:r>
            <w:r>
              <w:rPr>
                <w:rFonts w:hint="eastAsia"/>
                <w:lang w:val="en-US" w:eastAsia="zh-CN"/>
              </w:rPr>
              <w:t>11248</w:t>
            </w:r>
          </w:p>
        </w:tc>
        <w:tc>
          <w:tcPr>
            <w:tcW w:w="407" w:type="pct"/>
            <w:noWrap w:val="0"/>
            <w:vAlign w:val="center"/>
          </w:tcPr>
          <w:p w14:paraId="03342F1E">
            <w:pPr>
              <w:pStyle w:val="45"/>
              <w:bidi w:val="0"/>
              <w:rPr>
                <w:rFonts w:hint="default"/>
                <w:lang w:val="en-US" w:eastAsia="zh-CN"/>
              </w:rPr>
            </w:pPr>
            <w:r>
              <w:rPr>
                <w:rFonts w:hint="eastAsia"/>
                <w:lang w:val="en-US" w:eastAsia="zh-CN"/>
              </w:rPr>
              <w:t>65</w:t>
            </w:r>
          </w:p>
        </w:tc>
        <w:tc>
          <w:tcPr>
            <w:tcW w:w="364" w:type="pct"/>
            <w:vMerge w:val="continue"/>
            <w:noWrap w:val="0"/>
            <w:vAlign w:val="center"/>
          </w:tcPr>
          <w:p w14:paraId="514DE294">
            <w:pPr>
              <w:pStyle w:val="45"/>
              <w:bidi w:val="0"/>
            </w:pPr>
          </w:p>
        </w:tc>
        <w:tc>
          <w:tcPr>
            <w:tcW w:w="445" w:type="pct"/>
            <w:noWrap w:val="0"/>
            <w:vAlign w:val="center"/>
          </w:tcPr>
          <w:p w14:paraId="18912DEF">
            <w:pPr>
              <w:pStyle w:val="45"/>
              <w:bidi w:val="0"/>
            </w:pPr>
            <w:r>
              <w:rPr>
                <w:rFonts w:hint="eastAsia"/>
                <w:lang w:val="en-US" w:eastAsia="zh-CN"/>
              </w:rPr>
              <w:t>不锈钢</w:t>
            </w:r>
          </w:p>
        </w:tc>
        <w:tc>
          <w:tcPr>
            <w:tcW w:w="480" w:type="pct"/>
            <w:vMerge w:val="continue"/>
            <w:noWrap w:val="0"/>
            <w:vAlign w:val="center"/>
          </w:tcPr>
          <w:p w14:paraId="6F58EDE2">
            <w:pPr>
              <w:pStyle w:val="45"/>
              <w:bidi w:val="0"/>
            </w:pPr>
          </w:p>
        </w:tc>
        <w:tc>
          <w:tcPr>
            <w:tcW w:w="779" w:type="pct"/>
            <w:vMerge w:val="continue"/>
            <w:noWrap w:val="0"/>
            <w:vAlign w:val="center"/>
          </w:tcPr>
          <w:p w14:paraId="67738423">
            <w:pPr>
              <w:pStyle w:val="45"/>
              <w:bidi w:val="0"/>
            </w:pPr>
          </w:p>
        </w:tc>
      </w:tr>
      <w:tr w14:paraId="2019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continue"/>
            <w:noWrap w:val="0"/>
            <w:vAlign w:val="center"/>
          </w:tcPr>
          <w:p w14:paraId="042A5419">
            <w:pPr>
              <w:pStyle w:val="45"/>
              <w:bidi w:val="0"/>
            </w:pPr>
          </w:p>
        </w:tc>
        <w:tc>
          <w:tcPr>
            <w:tcW w:w="616" w:type="pct"/>
            <w:vMerge w:val="continue"/>
            <w:noWrap w:val="0"/>
            <w:vAlign w:val="center"/>
          </w:tcPr>
          <w:p w14:paraId="30C01510">
            <w:pPr>
              <w:pStyle w:val="45"/>
              <w:bidi w:val="0"/>
            </w:pPr>
          </w:p>
        </w:tc>
        <w:tc>
          <w:tcPr>
            <w:tcW w:w="374" w:type="pct"/>
            <w:noWrap w:val="0"/>
            <w:vAlign w:val="center"/>
          </w:tcPr>
          <w:p w14:paraId="33D585D2">
            <w:pPr>
              <w:pStyle w:val="45"/>
              <w:bidi w:val="0"/>
            </w:pPr>
            <w:r>
              <w:rPr>
                <w:rFonts w:hint="eastAsia"/>
              </w:rPr>
              <w:t>卧式</w:t>
            </w:r>
          </w:p>
        </w:tc>
        <w:tc>
          <w:tcPr>
            <w:tcW w:w="291" w:type="pct"/>
            <w:noWrap w:val="0"/>
            <w:vAlign w:val="center"/>
          </w:tcPr>
          <w:p w14:paraId="1F9B8104">
            <w:pPr>
              <w:pStyle w:val="45"/>
              <w:bidi w:val="0"/>
              <w:rPr>
                <w:rFonts w:hint="eastAsia"/>
                <w:lang w:val="en-US" w:eastAsia="zh-CN"/>
              </w:rPr>
            </w:pPr>
            <w:r>
              <w:rPr>
                <w:rFonts w:hint="eastAsia"/>
                <w:lang w:val="en-US" w:eastAsia="zh-CN"/>
              </w:rPr>
              <w:t>3</w:t>
            </w:r>
          </w:p>
        </w:tc>
        <w:tc>
          <w:tcPr>
            <w:tcW w:w="993" w:type="pct"/>
            <w:noWrap w:val="0"/>
            <w:vAlign w:val="center"/>
          </w:tcPr>
          <w:p w14:paraId="0F5C16ED">
            <w:pPr>
              <w:pStyle w:val="45"/>
              <w:bidi w:val="0"/>
              <w:rPr>
                <w:rFonts w:hint="default"/>
                <w:lang w:val="en-US" w:eastAsia="zh-CN"/>
              </w:rPr>
            </w:pPr>
            <w:r>
              <w:rPr>
                <w:rFonts w:hint="eastAsia"/>
                <w:lang w:val="en-US" w:eastAsia="zh-CN"/>
              </w:rPr>
              <w:t>F152a</w:t>
            </w:r>
            <w:r>
              <w:t>：</w:t>
            </w:r>
            <w:r>
              <w:rPr>
                <w:rFonts w:hint="eastAsia"/>
                <w:lang w:val="en-US" w:eastAsia="zh-CN"/>
              </w:rPr>
              <w:t>28</w:t>
            </w:r>
            <w:r>
              <w:t>00×1</w:t>
            </w:r>
            <w:r>
              <w:rPr>
                <w:rFonts w:hint="eastAsia"/>
                <w:lang w:val="en-US" w:eastAsia="zh-CN"/>
              </w:rPr>
              <w:t>1216</w:t>
            </w:r>
          </w:p>
        </w:tc>
        <w:tc>
          <w:tcPr>
            <w:tcW w:w="407" w:type="pct"/>
            <w:noWrap w:val="0"/>
            <w:vAlign w:val="center"/>
          </w:tcPr>
          <w:p w14:paraId="1FE04AD4">
            <w:pPr>
              <w:pStyle w:val="45"/>
              <w:bidi w:val="0"/>
              <w:rPr>
                <w:lang w:val="en-US" w:eastAsia="zh-CN"/>
              </w:rPr>
            </w:pPr>
            <w:r>
              <w:rPr>
                <w:rFonts w:hint="eastAsia"/>
                <w:lang w:val="en-US" w:eastAsia="zh-CN"/>
              </w:rPr>
              <w:t>65*3</w:t>
            </w:r>
          </w:p>
        </w:tc>
        <w:tc>
          <w:tcPr>
            <w:tcW w:w="364" w:type="pct"/>
            <w:vMerge w:val="continue"/>
            <w:noWrap w:val="0"/>
            <w:vAlign w:val="center"/>
          </w:tcPr>
          <w:p w14:paraId="42A43A63">
            <w:pPr>
              <w:pStyle w:val="45"/>
              <w:bidi w:val="0"/>
            </w:pPr>
          </w:p>
        </w:tc>
        <w:tc>
          <w:tcPr>
            <w:tcW w:w="445" w:type="pct"/>
            <w:noWrap w:val="0"/>
            <w:vAlign w:val="center"/>
          </w:tcPr>
          <w:p w14:paraId="666DE491">
            <w:pPr>
              <w:pStyle w:val="45"/>
              <w:bidi w:val="0"/>
            </w:pPr>
            <w:r>
              <w:rPr>
                <w:rFonts w:hint="eastAsia"/>
                <w:lang w:val="en-US" w:eastAsia="zh-CN"/>
              </w:rPr>
              <w:t>不锈钢</w:t>
            </w:r>
          </w:p>
        </w:tc>
        <w:tc>
          <w:tcPr>
            <w:tcW w:w="480" w:type="pct"/>
            <w:vMerge w:val="continue"/>
            <w:noWrap w:val="0"/>
            <w:vAlign w:val="center"/>
          </w:tcPr>
          <w:p w14:paraId="50403878">
            <w:pPr>
              <w:pStyle w:val="45"/>
              <w:bidi w:val="0"/>
            </w:pPr>
          </w:p>
        </w:tc>
        <w:tc>
          <w:tcPr>
            <w:tcW w:w="779" w:type="pct"/>
            <w:vMerge w:val="continue"/>
            <w:noWrap w:val="0"/>
            <w:vAlign w:val="center"/>
          </w:tcPr>
          <w:p w14:paraId="297CBD63">
            <w:pPr>
              <w:pStyle w:val="45"/>
              <w:bidi w:val="0"/>
            </w:pPr>
          </w:p>
        </w:tc>
      </w:tr>
      <w:tr w14:paraId="410B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restart"/>
            <w:noWrap w:val="0"/>
            <w:vAlign w:val="center"/>
          </w:tcPr>
          <w:p w14:paraId="2277363D">
            <w:pPr>
              <w:pStyle w:val="45"/>
              <w:bidi w:val="0"/>
              <w:rPr>
                <w:rFonts w:hint="eastAsia"/>
                <w:lang w:eastAsia="zh-CN"/>
              </w:rPr>
            </w:pPr>
            <w:r>
              <w:rPr>
                <w:rFonts w:hint="eastAsia"/>
                <w:lang w:val="en-US" w:eastAsia="zh-CN"/>
              </w:rPr>
              <w:t>7</w:t>
            </w:r>
          </w:p>
        </w:tc>
        <w:tc>
          <w:tcPr>
            <w:tcW w:w="616" w:type="pct"/>
            <w:vMerge w:val="restart"/>
            <w:noWrap w:val="0"/>
            <w:vAlign w:val="center"/>
          </w:tcPr>
          <w:p w14:paraId="73D0DCAB">
            <w:pPr>
              <w:pStyle w:val="45"/>
              <w:bidi w:val="0"/>
            </w:pPr>
            <w:r>
              <w:rPr>
                <w:rFonts w:hint="eastAsia"/>
              </w:rPr>
              <w:t>F</w:t>
            </w:r>
            <w:r>
              <w:t>113</w:t>
            </w:r>
            <w:r>
              <w:rPr>
                <w:rFonts w:hint="eastAsia"/>
              </w:rPr>
              <w:t>罐区</w:t>
            </w:r>
          </w:p>
        </w:tc>
        <w:tc>
          <w:tcPr>
            <w:tcW w:w="374" w:type="pct"/>
            <w:noWrap w:val="0"/>
            <w:vAlign w:val="center"/>
          </w:tcPr>
          <w:p w14:paraId="18861889">
            <w:pPr>
              <w:pStyle w:val="45"/>
              <w:bidi w:val="0"/>
            </w:pPr>
            <w:r>
              <w:rPr>
                <w:rFonts w:hint="eastAsia"/>
              </w:rPr>
              <w:t>卧式</w:t>
            </w:r>
          </w:p>
        </w:tc>
        <w:tc>
          <w:tcPr>
            <w:tcW w:w="291" w:type="pct"/>
            <w:noWrap w:val="0"/>
            <w:vAlign w:val="center"/>
          </w:tcPr>
          <w:p w14:paraId="103AF2E2">
            <w:pPr>
              <w:pStyle w:val="45"/>
              <w:bidi w:val="0"/>
            </w:pPr>
            <w:r>
              <w:rPr>
                <w:rFonts w:hint="eastAsia"/>
              </w:rPr>
              <w:t>9</w:t>
            </w:r>
          </w:p>
        </w:tc>
        <w:tc>
          <w:tcPr>
            <w:tcW w:w="993" w:type="pct"/>
            <w:noWrap w:val="0"/>
            <w:vAlign w:val="center"/>
          </w:tcPr>
          <w:p w14:paraId="796A04EA">
            <w:pPr>
              <w:pStyle w:val="45"/>
              <w:bidi w:val="0"/>
            </w:pPr>
            <w:r>
              <w:rPr>
                <w:rFonts w:hint="eastAsia"/>
              </w:rPr>
              <w:t>F</w:t>
            </w:r>
            <w:r>
              <w:t>113</w:t>
            </w:r>
            <w:r>
              <w:rPr>
                <w:rFonts w:hint="eastAsia"/>
              </w:rPr>
              <w:t>：</w:t>
            </w:r>
          </w:p>
          <w:p w14:paraId="06B56538">
            <w:pPr>
              <w:pStyle w:val="45"/>
              <w:bidi w:val="0"/>
            </w:pPr>
            <w:r>
              <w:rPr>
                <w:rFonts w:hint="eastAsia"/>
              </w:rPr>
              <w:t>2</w:t>
            </w:r>
            <w:r>
              <w:t>800×15200</w:t>
            </w:r>
          </w:p>
        </w:tc>
        <w:tc>
          <w:tcPr>
            <w:tcW w:w="407" w:type="pct"/>
            <w:noWrap w:val="0"/>
            <w:vAlign w:val="center"/>
          </w:tcPr>
          <w:p w14:paraId="3A53746F">
            <w:pPr>
              <w:pStyle w:val="45"/>
              <w:bidi w:val="0"/>
            </w:pPr>
            <w:r>
              <w:rPr>
                <w:rFonts w:hint="eastAsia"/>
              </w:rPr>
              <w:t>1</w:t>
            </w:r>
            <w:r>
              <w:t>00*9</w:t>
            </w:r>
          </w:p>
        </w:tc>
        <w:tc>
          <w:tcPr>
            <w:tcW w:w="364" w:type="pct"/>
            <w:vMerge w:val="restart"/>
            <w:noWrap w:val="0"/>
            <w:vAlign w:val="center"/>
          </w:tcPr>
          <w:p w14:paraId="711FE0FA">
            <w:pPr>
              <w:pStyle w:val="45"/>
              <w:bidi w:val="0"/>
            </w:pPr>
            <w:r>
              <w:rPr>
                <w:rFonts w:hint="eastAsia"/>
              </w:rPr>
              <w:t>戊</w:t>
            </w:r>
          </w:p>
        </w:tc>
        <w:tc>
          <w:tcPr>
            <w:tcW w:w="445" w:type="pct"/>
            <w:noWrap w:val="0"/>
            <w:vAlign w:val="center"/>
          </w:tcPr>
          <w:p w14:paraId="323DE72B">
            <w:pPr>
              <w:pStyle w:val="45"/>
              <w:bidi w:val="0"/>
            </w:pPr>
            <w:r>
              <w:rPr>
                <w:rFonts w:hint="eastAsia"/>
              </w:rPr>
              <w:t>碳钢</w:t>
            </w:r>
          </w:p>
        </w:tc>
        <w:tc>
          <w:tcPr>
            <w:tcW w:w="480" w:type="pct"/>
            <w:vMerge w:val="restart"/>
            <w:noWrap w:val="0"/>
            <w:vAlign w:val="center"/>
          </w:tcPr>
          <w:p w14:paraId="71B8F44B">
            <w:pPr>
              <w:pStyle w:val="45"/>
              <w:bidi w:val="0"/>
            </w:pPr>
            <w:r>
              <w:rPr>
                <w:rFonts w:hint="eastAsia"/>
              </w:rPr>
              <w:t>F</w:t>
            </w:r>
            <w:r>
              <w:t>113</w:t>
            </w:r>
            <w:r>
              <w:rPr>
                <w:rFonts w:hint="eastAsia"/>
              </w:rPr>
              <w:t>a装置旁</w:t>
            </w:r>
          </w:p>
        </w:tc>
        <w:tc>
          <w:tcPr>
            <w:tcW w:w="779" w:type="pct"/>
            <w:vMerge w:val="restart"/>
            <w:noWrap w:val="0"/>
            <w:vAlign w:val="center"/>
          </w:tcPr>
          <w:p w14:paraId="0E2CE448">
            <w:pPr>
              <w:pStyle w:val="45"/>
              <w:bidi w:val="0"/>
            </w:pPr>
            <w:r>
              <w:t>围堰、尾气吸收</w:t>
            </w:r>
          </w:p>
        </w:tc>
      </w:tr>
      <w:tr w14:paraId="4D07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246" w:type="pct"/>
            <w:vMerge w:val="continue"/>
            <w:noWrap w:val="0"/>
            <w:vAlign w:val="center"/>
          </w:tcPr>
          <w:p w14:paraId="49072439">
            <w:pPr>
              <w:pStyle w:val="45"/>
              <w:bidi w:val="0"/>
            </w:pPr>
          </w:p>
        </w:tc>
        <w:tc>
          <w:tcPr>
            <w:tcW w:w="616" w:type="pct"/>
            <w:vMerge w:val="continue"/>
            <w:noWrap w:val="0"/>
            <w:vAlign w:val="center"/>
          </w:tcPr>
          <w:p w14:paraId="4FF2F3AC">
            <w:pPr>
              <w:pStyle w:val="45"/>
              <w:bidi w:val="0"/>
            </w:pPr>
          </w:p>
        </w:tc>
        <w:tc>
          <w:tcPr>
            <w:tcW w:w="374" w:type="pct"/>
            <w:noWrap w:val="0"/>
            <w:vAlign w:val="center"/>
          </w:tcPr>
          <w:p w14:paraId="449CEAEB">
            <w:pPr>
              <w:pStyle w:val="45"/>
              <w:bidi w:val="0"/>
            </w:pPr>
            <w:r>
              <w:rPr>
                <w:rFonts w:hint="eastAsia"/>
              </w:rPr>
              <w:t>卧式</w:t>
            </w:r>
          </w:p>
        </w:tc>
        <w:tc>
          <w:tcPr>
            <w:tcW w:w="291" w:type="pct"/>
            <w:noWrap w:val="0"/>
            <w:vAlign w:val="center"/>
          </w:tcPr>
          <w:p w14:paraId="1B54AB21">
            <w:pPr>
              <w:pStyle w:val="45"/>
              <w:bidi w:val="0"/>
            </w:pPr>
            <w:r>
              <w:rPr>
                <w:rFonts w:hint="eastAsia"/>
              </w:rPr>
              <w:t>9</w:t>
            </w:r>
          </w:p>
        </w:tc>
        <w:tc>
          <w:tcPr>
            <w:tcW w:w="993" w:type="pct"/>
            <w:noWrap w:val="0"/>
            <w:vAlign w:val="center"/>
          </w:tcPr>
          <w:p w14:paraId="2FB9AB90">
            <w:pPr>
              <w:pStyle w:val="45"/>
              <w:bidi w:val="0"/>
            </w:pPr>
            <w:r>
              <w:rPr>
                <w:rFonts w:hint="eastAsia"/>
              </w:rPr>
              <w:t>F</w:t>
            </w:r>
            <w:r>
              <w:t>113</w:t>
            </w:r>
            <w:r>
              <w:rPr>
                <w:rFonts w:hint="eastAsia"/>
              </w:rPr>
              <w:t>a：</w:t>
            </w:r>
          </w:p>
          <w:p w14:paraId="27A2D55C">
            <w:pPr>
              <w:pStyle w:val="45"/>
              <w:bidi w:val="0"/>
            </w:pPr>
            <w:r>
              <w:rPr>
                <w:rFonts w:hint="eastAsia"/>
              </w:rPr>
              <w:t>2</w:t>
            </w:r>
            <w:r>
              <w:t>800×15200</w:t>
            </w:r>
          </w:p>
        </w:tc>
        <w:tc>
          <w:tcPr>
            <w:tcW w:w="407" w:type="pct"/>
            <w:noWrap w:val="0"/>
            <w:vAlign w:val="center"/>
          </w:tcPr>
          <w:p w14:paraId="74BB0065">
            <w:pPr>
              <w:pStyle w:val="45"/>
              <w:bidi w:val="0"/>
            </w:pPr>
            <w:r>
              <w:rPr>
                <w:rFonts w:hint="eastAsia"/>
              </w:rPr>
              <w:t>1</w:t>
            </w:r>
            <w:r>
              <w:t>00*9</w:t>
            </w:r>
          </w:p>
        </w:tc>
        <w:tc>
          <w:tcPr>
            <w:tcW w:w="364" w:type="pct"/>
            <w:vMerge w:val="continue"/>
            <w:noWrap w:val="0"/>
            <w:vAlign w:val="center"/>
          </w:tcPr>
          <w:p w14:paraId="7EAD4877">
            <w:pPr>
              <w:pStyle w:val="45"/>
              <w:bidi w:val="0"/>
            </w:pPr>
          </w:p>
        </w:tc>
        <w:tc>
          <w:tcPr>
            <w:tcW w:w="445" w:type="pct"/>
            <w:noWrap w:val="0"/>
            <w:vAlign w:val="center"/>
          </w:tcPr>
          <w:p w14:paraId="02373F8D">
            <w:pPr>
              <w:pStyle w:val="45"/>
              <w:bidi w:val="0"/>
            </w:pPr>
            <w:r>
              <w:rPr>
                <w:rFonts w:hint="eastAsia"/>
              </w:rPr>
              <w:t>碳钢</w:t>
            </w:r>
          </w:p>
        </w:tc>
        <w:tc>
          <w:tcPr>
            <w:tcW w:w="480" w:type="pct"/>
            <w:vMerge w:val="continue"/>
            <w:noWrap w:val="0"/>
            <w:vAlign w:val="center"/>
          </w:tcPr>
          <w:p w14:paraId="3C761CAE">
            <w:pPr>
              <w:pStyle w:val="45"/>
              <w:bidi w:val="0"/>
            </w:pPr>
          </w:p>
        </w:tc>
        <w:tc>
          <w:tcPr>
            <w:tcW w:w="779" w:type="pct"/>
            <w:vMerge w:val="continue"/>
            <w:noWrap w:val="0"/>
            <w:vAlign w:val="center"/>
          </w:tcPr>
          <w:p w14:paraId="7A473308">
            <w:pPr>
              <w:pStyle w:val="45"/>
              <w:bidi w:val="0"/>
            </w:pPr>
          </w:p>
        </w:tc>
      </w:tr>
      <w:tr w14:paraId="613E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noWrap w:val="0"/>
            <w:vAlign w:val="center"/>
          </w:tcPr>
          <w:p w14:paraId="5A203D41">
            <w:pPr>
              <w:pStyle w:val="45"/>
              <w:bidi w:val="0"/>
              <w:rPr>
                <w:rFonts w:hint="eastAsia"/>
                <w:lang w:eastAsia="zh-CN"/>
              </w:rPr>
            </w:pPr>
            <w:r>
              <w:rPr>
                <w:rFonts w:hint="eastAsia"/>
                <w:lang w:val="en-US" w:eastAsia="zh-CN"/>
              </w:rPr>
              <w:t>8</w:t>
            </w:r>
          </w:p>
        </w:tc>
        <w:tc>
          <w:tcPr>
            <w:tcW w:w="616" w:type="pct"/>
            <w:noWrap w:val="0"/>
            <w:vAlign w:val="center"/>
          </w:tcPr>
          <w:p w14:paraId="424744EF">
            <w:pPr>
              <w:pStyle w:val="45"/>
              <w:bidi w:val="0"/>
            </w:pPr>
            <w:r>
              <w:rPr>
                <w:rFonts w:hint="eastAsia"/>
              </w:rPr>
              <w:t>液碱罐区</w:t>
            </w:r>
          </w:p>
        </w:tc>
        <w:tc>
          <w:tcPr>
            <w:tcW w:w="374" w:type="pct"/>
            <w:noWrap w:val="0"/>
            <w:vAlign w:val="center"/>
          </w:tcPr>
          <w:p w14:paraId="516E3F93">
            <w:pPr>
              <w:pStyle w:val="45"/>
              <w:bidi w:val="0"/>
            </w:pPr>
            <w:r>
              <w:rPr>
                <w:rFonts w:hint="eastAsia"/>
              </w:rPr>
              <w:t>立式</w:t>
            </w:r>
          </w:p>
        </w:tc>
        <w:tc>
          <w:tcPr>
            <w:tcW w:w="291" w:type="pct"/>
            <w:noWrap w:val="0"/>
            <w:vAlign w:val="center"/>
          </w:tcPr>
          <w:p w14:paraId="747FBA26">
            <w:pPr>
              <w:pStyle w:val="45"/>
              <w:bidi w:val="0"/>
            </w:pPr>
            <w:r>
              <w:rPr>
                <w:rFonts w:hint="eastAsia"/>
              </w:rPr>
              <w:t>2</w:t>
            </w:r>
          </w:p>
        </w:tc>
        <w:tc>
          <w:tcPr>
            <w:tcW w:w="993" w:type="pct"/>
            <w:noWrap w:val="0"/>
            <w:vAlign w:val="center"/>
          </w:tcPr>
          <w:p w14:paraId="734C7A2A">
            <w:pPr>
              <w:pStyle w:val="45"/>
              <w:bidi w:val="0"/>
            </w:pPr>
            <w:r>
              <w:rPr>
                <w:rFonts w:hint="eastAsia"/>
              </w:rPr>
              <w:t>3</w:t>
            </w:r>
            <w:r>
              <w:t>0%</w:t>
            </w:r>
            <w:r>
              <w:rPr>
                <w:rFonts w:hint="eastAsia"/>
              </w:rPr>
              <w:t>氢氧化钠</w:t>
            </w:r>
            <w:r>
              <w:t>DN3200×4800mm</w:t>
            </w:r>
          </w:p>
        </w:tc>
        <w:tc>
          <w:tcPr>
            <w:tcW w:w="407" w:type="pct"/>
            <w:noWrap w:val="0"/>
            <w:vAlign w:val="center"/>
          </w:tcPr>
          <w:p w14:paraId="5AB10485">
            <w:pPr>
              <w:pStyle w:val="45"/>
              <w:bidi w:val="0"/>
            </w:pPr>
            <w:r>
              <w:rPr>
                <w:rFonts w:hint="eastAsia"/>
              </w:rPr>
              <w:t>4</w:t>
            </w:r>
            <w:r>
              <w:t>0*2</w:t>
            </w:r>
          </w:p>
        </w:tc>
        <w:tc>
          <w:tcPr>
            <w:tcW w:w="364" w:type="pct"/>
            <w:noWrap w:val="0"/>
            <w:vAlign w:val="center"/>
          </w:tcPr>
          <w:p w14:paraId="019BDB6B">
            <w:pPr>
              <w:pStyle w:val="45"/>
              <w:bidi w:val="0"/>
            </w:pPr>
            <w:r>
              <w:rPr>
                <w:rFonts w:hint="eastAsia"/>
              </w:rPr>
              <w:t>戊</w:t>
            </w:r>
          </w:p>
        </w:tc>
        <w:tc>
          <w:tcPr>
            <w:tcW w:w="445" w:type="pct"/>
            <w:noWrap w:val="0"/>
            <w:vAlign w:val="center"/>
          </w:tcPr>
          <w:p w14:paraId="35A8E799">
            <w:pPr>
              <w:pStyle w:val="45"/>
              <w:bidi w:val="0"/>
            </w:pPr>
            <w:r>
              <w:rPr>
                <w:rFonts w:hint="eastAsia"/>
              </w:rPr>
              <w:t>碳钢</w:t>
            </w:r>
          </w:p>
        </w:tc>
        <w:tc>
          <w:tcPr>
            <w:tcW w:w="480" w:type="pct"/>
            <w:noWrap w:val="0"/>
            <w:vAlign w:val="center"/>
          </w:tcPr>
          <w:p w14:paraId="1498543C">
            <w:pPr>
              <w:pStyle w:val="45"/>
              <w:bidi w:val="0"/>
            </w:pPr>
            <w:r>
              <w:rPr>
                <w:rFonts w:hint="eastAsia"/>
              </w:rPr>
              <w:t>粉库东侧</w:t>
            </w:r>
          </w:p>
        </w:tc>
        <w:tc>
          <w:tcPr>
            <w:tcW w:w="779" w:type="pct"/>
            <w:noWrap w:val="0"/>
            <w:vAlign w:val="center"/>
          </w:tcPr>
          <w:p w14:paraId="68E0DB91">
            <w:pPr>
              <w:pStyle w:val="45"/>
              <w:bidi w:val="0"/>
            </w:pPr>
            <w:r>
              <w:rPr>
                <w:rFonts w:hint="eastAsia"/>
              </w:rPr>
              <w:t>围堰</w:t>
            </w:r>
          </w:p>
        </w:tc>
      </w:tr>
      <w:tr w14:paraId="0DB4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noWrap w:val="0"/>
            <w:vAlign w:val="center"/>
          </w:tcPr>
          <w:p w14:paraId="2C47BC9E">
            <w:pPr>
              <w:pStyle w:val="45"/>
              <w:bidi w:val="0"/>
              <w:rPr>
                <w:rFonts w:hint="eastAsia"/>
                <w:lang w:eastAsia="zh-CN"/>
              </w:rPr>
            </w:pPr>
            <w:r>
              <w:rPr>
                <w:rFonts w:hint="eastAsia"/>
                <w:lang w:val="en-US" w:eastAsia="zh-CN"/>
              </w:rPr>
              <w:t>9</w:t>
            </w:r>
          </w:p>
        </w:tc>
        <w:tc>
          <w:tcPr>
            <w:tcW w:w="616" w:type="pct"/>
            <w:noWrap w:val="0"/>
            <w:vAlign w:val="center"/>
          </w:tcPr>
          <w:p w14:paraId="5D264150">
            <w:pPr>
              <w:pStyle w:val="45"/>
              <w:bidi w:val="0"/>
            </w:pPr>
            <w:r>
              <w:rPr>
                <w:rFonts w:hint="eastAsia"/>
              </w:rPr>
              <w:t>四氯乙烯罐区</w:t>
            </w:r>
          </w:p>
        </w:tc>
        <w:tc>
          <w:tcPr>
            <w:tcW w:w="374" w:type="pct"/>
            <w:noWrap w:val="0"/>
            <w:vAlign w:val="center"/>
          </w:tcPr>
          <w:p w14:paraId="6771BF17">
            <w:pPr>
              <w:pStyle w:val="45"/>
              <w:bidi w:val="0"/>
              <w:rPr>
                <w:rFonts w:hint="eastAsia"/>
              </w:rPr>
            </w:pPr>
            <w:r>
              <w:rPr>
                <w:rFonts w:hint="eastAsia"/>
              </w:rPr>
              <w:t>立式</w:t>
            </w:r>
          </w:p>
          <w:p w14:paraId="11C361D6">
            <w:pPr>
              <w:pStyle w:val="45"/>
              <w:bidi w:val="0"/>
              <w:rPr>
                <w:rFonts w:hint="eastAsia"/>
                <w:lang w:val="en-US" w:eastAsia="zh-CN"/>
              </w:rPr>
            </w:pPr>
            <w:r>
              <w:rPr>
                <w:rFonts w:hint="eastAsia"/>
                <w:lang w:val="en-US" w:eastAsia="zh-CN"/>
              </w:rPr>
              <w:t>卧式</w:t>
            </w:r>
          </w:p>
          <w:p w14:paraId="5EBE811D">
            <w:pPr>
              <w:pStyle w:val="45"/>
              <w:bidi w:val="0"/>
              <w:rPr>
                <w:rFonts w:hint="default"/>
                <w:lang w:val="en-US" w:eastAsia="zh-CN"/>
              </w:rPr>
            </w:pPr>
            <w:r>
              <w:rPr>
                <w:rFonts w:hint="eastAsia"/>
                <w:lang w:val="en-US" w:eastAsia="zh-CN"/>
              </w:rPr>
              <w:t>卧式</w:t>
            </w:r>
          </w:p>
        </w:tc>
        <w:tc>
          <w:tcPr>
            <w:tcW w:w="291" w:type="pct"/>
            <w:noWrap w:val="0"/>
            <w:vAlign w:val="center"/>
          </w:tcPr>
          <w:p w14:paraId="51EB877A">
            <w:pPr>
              <w:pStyle w:val="45"/>
              <w:bidi w:val="0"/>
            </w:pPr>
            <w:r>
              <w:t>8</w:t>
            </w:r>
          </w:p>
        </w:tc>
        <w:tc>
          <w:tcPr>
            <w:tcW w:w="993" w:type="pct"/>
            <w:noWrap w:val="0"/>
            <w:vAlign w:val="center"/>
          </w:tcPr>
          <w:p w14:paraId="64B2F910">
            <w:pPr>
              <w:pStyle w:val="45"/>
              <w:bidi w:val="0"/>
            </w:pPr>
            <w:r>
              <w:t>11500×10000</w:t>
            </w:r>
          </w:p>
          <w:p w14:paraId="578761C6">
            <w:pPr>
              <w:pStyle w:val="45"/>
              <w:bidi w:val="0"/>
            </w:pPr>
            <w:r>
              <w:t>2800×15200mm</w:t>
            </w:r>
          </w:p>
          <w:p w14:paraId="278C08C2">
            <w:pPr>
              <w:pStyle w:val="45"/>
              <w:bidi w:val="0"/>
            </w:pPr>
            <w:r>
              <w:t>2800×7200mm</w:t>
            </w:r>
          </w:p>
        </w:tc>
        <w:tc>
          <w:tcPr>
            <w:tcW w:w="407" w:type="pct"/>
            <w:noWrap w:val="0"/>
            <w:vAlign w:val="center"/>
          </w:tcPr>
          <w:p w14:paraId="195D5B66">
            <w:pPr>
              <w:pStyle w:val="45"/>
              <w:bidi w:val="0"/>
            </w:pPr>
            <w:r>
              <w:rPr>
                <w:rFonts w:hint="eastAsia"/>
              </w:rPr>
              <w:t>1</w:t>
            </w:r>
            <w:r>
              <w:t>000*4</w:t>
            </w:r>
          </w:p>
          <w:p w14:paraId="24FB0D67">
            <w:pPr>
              <w:pStyle w:val="45"/>
              <w:bidi w:val="0"/>
            </w:pPr>
            <w:r>
              <w:rPr>
                <w:rFonts w:hint="eastAsia"/>
              </w:rPr>
              <w:t>1</w:t>
            </w:r>
            <w:r>
              <w:t>00*2</w:t>
            </w:r>
          </w:p>
          <w:p w14:paraId="234215EA">
            <w:pPr>
              <w:pStyle w:val="45"/>
              <w:bidi w:val="0"/>
            </w:pPr>
            <w:r>
              <w:rPr>
                <w:rFonts w:hint="eastAsia"/>
              </w:rPr>
              <w:t>5</w:t>
            </w:r>
            <w:r>
              <w:t>0*2</w:t>
            </w:r>
          </w:p>
        </w:tc>
        <w:tc>
          <w:tcPr>
            <w:tcW w:w="364" w:type="pct"/>
            <w:noWrap w:val="0"/>
            <w:vAlign w:val="center"/>
          </w:tcPr>
          <w:p w14:paraId="30E37FBF">
            <w:pPr>
              <w:pStyle w:val="45"/>
              <w:bidi w:val="0"/>
            </w:pPr>
            <w:r>
              <w:rPr>
                <w:rFonts w:hint="eastAsia"/>
              </w:rPr>
              <w:t>戊</w:t>
            </w:r>
          </w:p>
        </w:tc>
        <w:tc>
          <w:tcPr>
            <w:tcW w:w="445" w:type="pct"/>
            <w:noWrap w:val="0"/>
            <w:vAlign w:val="center"/>
          </w:tcPr>
          <w:p w14:paraId="2833C4B7">
            <w:pPr>
              <w:pStyle w:val="45"/>
              <w:bidi w:val="0"/>
            </w:pPr>
            <w:r>
              <w:rPr>
                <w:rFonts w:hint="eastAsia"/>
              </w:rPr>
              <w:t>碳钢</w:t>
            </w:r>
          </w:p>
        </w:tc>
        <w:tc>
          <w:tcPr>
            <w:tcW w:w="480" w:type="pct"/>
            <w:noWrap w:val="0"/>
            <w:vAlign w:val="center"/>
          </w:tcPr>
          <w:p w14:paraId="58498B98">
            <w:pPr>
              <w:pStyle w:val="45"/>
              <w:bidi w:val="0"/>
            </w:pPr>
            <w:r>
              <w:rPr>
                <w:rFonts w:hint="eastAsia"/>
              </w:rPr>
              <w:t>F1</w:t>
            </w:r>
            <w:r>
              <w:t>41</w:t>
            </w:r>
            <w:r>
              <w:rPr>
                <w:rFonts w:hint="eastAsia"/>
              </w:rPr>
              <w:t>b装置东侧</w:t>
            </w:r>
          </w:p>
        </w:tc>
        <w:tc>
          <w:tcPr>
            <w:tcW w:w="779" w:type="pct"/>
            <w:noWrap w:val="0"/>
            <w:vAlign w:val="center"/>
          </w:tcPr>
          <w:p w14:paraId="5F0C001B">
            <w:pPr>
              <w:pStyle w:val="45"/>
              <w:bidi w:val="0"/>
            </w:pPr>
            <w:r>
              <w:t>围堰、尾气吸收</w:t>
            </w:r>
          </w:p>
        </w:tc>
      </w:tr>
      <w:tr w14:paraId="442E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noWrap w:val="0"/>
            <w:vAlign w:val="center"/>
          </w:tcPr>
          <w:p w14:paraId="41FB5175">
            <w:pPr>
              <w:pStyle w:val="45"/>
              <w:bidi w:val="0"/>
              <w:rPr>
                <w:rFonts w:hint="default"/>
                <w:lang w:val="en-US" w:eastAsia="zh-CN"/>
              </w:rPr>
            </w:pPr>
            <w:r>
              <w:rPr>
                <w:rFonts w:hint="eastAsia"/>
                <w:lang w:val="en-US" w:eastAsia="zh-CN"/>
              </w:rPr>
              <w:t>10</w:t>
            </w:r>
          </w:p>
        </w:tc>
        <w:tc>
          <w:tcPr>
            <w:tcW w:w="616" w:type="pct"/>
            <w:noWrap w:val="0"/>
            <w:vAlign w:val="center"/>
          </w:tcPr>
          <w:p w14:paraId="26880D94">
            <w:pPr>
              <w:pStyle w:val="45"/>
              <w:bidi w:val="0"/>
            </w:pPr>
            <w:r>
              <w:rPr>
                <w:rFonts w:hint="eastAsia"/>
              </w:rPr>
              <w:t>AHF罐区</w:t>
            </w:r>
          </w:p>
        </w:tc>
        <w:tc>
          <w:tcPr>
            <w:tcW w:w="374" w:type="pct"/>
            <w:noWrap w:val="0"/>
            <w:vAlign w:val="center"/>
          </w:tcPr>
          <w:p w14:paraId="61F29F89">
            <w:pPr>
              <w:pStyle w:val="45"/>
              <w:bidi w:val="0"/>
            </w:pPr>
            <w:r>
              <w:rPr>
                <w:rFonts w:hint="eastAsia"/>
              </w:rPr>
              <w:t>卧式</w:t>
            </w:r>
          </w:p>
        </w:tc>
        <w:tc>
          <w:tcPr>
            <w:tcW w:w="291" w:type="pct"/>
            <w:noWrap w:val="0"/>
            <w:vAlign w:val="center"/>
          </w:tcPr>
          <w:p w14:paraId="5399DD50">
            <w:pPr>
              <w:pStyle w:val="45"/>
              <w:bidi w:val="0"/>
            </w:pPr>
            <w:r>
              <w:rPr>
                <w:rFonts w:hint="eastAsia"/>
              </w:rPr>
              <w:t>4</w:t>
            </w:r>
          </w:p>
        </w:tc>
        <w:tc>
          <w:tcPr>
            <w:tcW w:w="993" w:type="pct"/>
            <w:noWrap w:val="0"/>
            <w:vAlign w:val="center"/>
          </w:tcPr>
          <w:p w14:paraId="01E1F16F">
            <w:pPr>
              <w:pStyle w:val="45"/>
              <w:bidi w:val="0"/>
            </w:pPr>
            <w:r>
              <w:t>2900×14200mm</w:t>
            </w:r>
          </w:p>
          <w:p w14:paraId="477ADC2A">
            <w:pPr>
              <w:pStyle w:val="45"/>
              <w:bidi w:val="0"/>
            </w:pPr>
            <w:r>
              <w:rPr>
                <w:rFonts w:hint="eastAsia"/>
              </w:rPr>
              <w:t>(其中1个为应急罐)</w:t>
            </w:r>
          </w:p>
        </w:tc>
        <w:tc>
          <w:tcPr>
            <w:tcW w:w="407" w:type="pct"/>
            <w:noWrap w:val="0"/>
            <w:vAlign w:val="center"/>
          </w:tcPr>
          <w:p w14:paraId="0E144895">
            <w:pPr>
              <w:pStyle w:val="45"/>
              <w:bidi w:val="0"/>
            </w:pPr>
            <w:r>
              <w:rPr>
                <w:rFonts w:hint="eastAsia"/>
              </w:rPr>
              <w:t>1</w:t>
            </w:r>
            <w:r>
              <w:t>00*4</w:t>
            </w:r>
          </w:p>
        </w:tc>
        <w:tc>
          <w:tcPr>
            <w:tcW w:w="364" w:type="pct"/>
            <w:noWrap w:val="0"/>
            <w:vAlign w:val="center"/>
          </w:tcPr>
          <w:p w14:paraId="640780E0">
            <w:pPr>
              <w:pStyle w:val="45"/>
              <w:bidi w:val="0"/>
            </w:pPr>
            <w:r>
              <w:rPr>
                <w:rFonts w:hint="eastAsia"/>
              </w:rPr>
              <w:t>戊</w:t>
            </w:r>
          </w:p>
        </w:tc>
        <w:tc>
          <w:tcPr>
            <w:tcW w:w="445" w:type="pct"/>
            <w:noWrap w:val="0"/>
            <w:vAlign w:val="center"/>
          </w:tcPr>
          <w:p w14:paraId="5950687B">
            <w:pPr>
              <w:pStyle w:val="45"/>
              <w:bidi w:val="0"/>
            </w:pPr>
            <w:r>
              <w:rPr>
                <w:rFonts w:hint="eastAsia"/>
              </w:rPr>
              <w:t>碳钢</w:t>
            </w:r>
          </w:p>
        </w:tc>
        <w:tc>
          <w:tcPr>
            <w:tcW w:w="480" w:type="pct"/>
            <w:noWrap w:val="0"/>
            <w:vAlign w:val="center"/>
          </w:tcPr>
          <w:p w14:paraId="5BAD4835">
            <w:pPr>
              <w:pStyle w:val="45"/>
              <w:bidi w:val="0"/>
            </w:pPr>
            <w:r>
              <w:rPr>
                <w:rFonts w:hint="eastAsia"/>
              </w:rPr>
              <w:t>粉库东侧</w:t>
            </w:r>
          </w:p>
        </w:tc>
        <w:tc>
          <w:tcPr>
            <w:tcW w:w="779" w:type="pct"/>
            <w:noWrap w:val="0"/>
            <w:vAlign w:val="center"/>
          </w:tcPr>
          <w:p w14:paraId="1961962E">
            <w:pPr>
              <w:pStyle w:val="45"/>
              <w:bidi w:val="0"/>
            </w:pPr>
            <w:r>
              <w:t>围堰、尾气吸收</w:t>
            </w:r>
          </w:p>
        </w:tc>
      </w:tr>
      <w:tr w14:paraId="64A0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46" w:type="pct"/>
            <w:noWrap w:val="0"/>
            <w:vAlign w:val="center"/>
          </w:tcPr>
          <w:p w14:paraId="0926506A">
            <w:pPr>
              <w:pStyle w:val="45"/>
              <w:bidi w:val="0"/>
              <w:rPr>
                <w:rFonts w:hint="eastAsia"/>
                <w:lang w:eastAsia="zh-CN"/>
              </w:rPr>
            </w:pPr>
            <w:r>
              <w:rPr>
                <w:rFonts w:hint="eastAsia"/>
              </w:rPr>
              <w:t>1</w:t>
            </w:r>
            <w:r>
              <w:rPr>
                <w:rFonts w:hint="eastAsia"/>
                <w:lang w:val="en-US" w:eastAsia="zh-CN"/>
              </w:rPr>
              <w:t>1</w:t>
            </w:r>
          </w:p>
        </w:tc>
        <w:tc>
          <w:tcPr>
            <w:tcW w:w="616" w:type="pct"/>
            <w:noWrap w:val="0"/>
            <w:vAlign w:val="center"/>
          </w:tcPr>
          <w:p w14:paraId="2B26B1BD">
            <w:pPr>
              <w:pStyle w:val="45"/>
              <w:bidi w:val="0"/>
            </w:pPr>
            <w:r>
              <w:rPr>
                <w:rFonts w:hint="eastAsia"/>
              </w:rPr>
              <w:t>氢氟酸罐区</w:t>
            </w:r>
          </w:p>
        </w:tc>
        <w:tc>
          <w:tcPr>
            <w:tcW w:w="374" w:type="pct"/>
            <w:noWrap w:val="0"/>
            <w:vAlign w:val="center"/>
          </w:tcPr>
          <w:p w14:paraId="059C7A9A">
            <w:pPr>
              <w:pStyle w:val="45"/>
              <w:bidi w:val="0"/>
            </w:pPr>
            <w:r>
              <w:rPr>
                <w:rFonts w:hint="eastAsia"/>
              </w:rPr>
              <w:t>立式</w:t>
            </w:r>
          </w:p>
        </w:tc>
        <w:tc>
          <w:tcPr>
            <w:tcW w:w="291" w:type="pct"/>
            <w:noWrap w:val="0"/>
            <w:vAlign w:val="center"/>
          </w:tcPr>
          <w:p w14:paraId="2E99594F">
            <w:pPr>
              <w:pStyle w:val="45"/>
              <w:bidi w:val="0"/>
            </w:pPr>
            <w:r>
              <w:rPr>
                <w:rFonts w:hint="eastAsia"/>
              </w:rPr>
              <w:t>4</w:t>
            </w:r>
          </w:p>
        </w:tc>
        <w:tc>
          <w:tcPr>
            <w:tcW w:w="993" w:type="pct"/>
            <w:noWrap w:val="0"/>
            <w:vAlign w:val="center"/>
          </w:tcPr>
          <w:p w14:paraId="70B34134">
            <w:pPr>
              <w:pStyle w:val="45"/>
              <w:bidi w:val="0"/>
            </w:pPr>
            <w:r>
              <w:t>2800×3200mm</w:t>
            </w:r>
          </w:p>
        </w:tc>
        <w:tc>
          <w:tcPr>
            <w:tcW w:w="407" w:type="pct"/>
            <w:noWrap w:val="0"/>
            <w:vAlign w:val="center"/>
          </w:tcPr>
          <w:p w14:paraId="730B461D">
            <w:pPr>
              <w:pStyle w:val="45"/>
              <w:bidi w:val="0"/>
            </w:pPr>
            <w:r>
              <w:rPr>
                <w:rFonts w:hint="eastAsia"/>
              </w:rPr>
              <w:t>2</w:t>
            </w:r>
            <w:r>
              <w:t>0*4</w:t>
            </w:r>
          </w:p>
        </w:tc>
        <w:tc>
          <w:tcPr>
            <w:tcW w:w="364" w:type="pct"/>
            <w:noWrap w:val="0"/>
            <w:vAlign w:val="center"/>
          </w:tcPr>
          <w:p w14:paraId="57D01EEC">
            <w:pPr>
              <w:pStyle w:val="45"/>
              <w:bidi w:val="0"/>
            </w:pPr>
            <w:r>
              <w:rPr>
                <w:rFonts w:hint="eastAsia"/>
              </w:rPr>
              <w:t>戊</w:t>
            </w:r>
          </w:p>
        </w:tc>
        <w:tc>
          <w:tcPr>
            <w:tcW w:w="445" w:type="pct"/>
            <w:noWrap w:val="0"/>
            <w:vAlign w:val="center"/>
          </w:tcPr>
          <w:p w14:paraId="1302D27A">
            <w:pPr>
              <w:pStyle w:val="45"/>
              <w:bidi w:val="0"/>
            </w:pPr>
            <w:r>
              <w:rPr>
                <w:rFonts w:hint="eastAsia"/>
              </w:rPr>
              <w:t>碳钢</w:t>
            </w:r>
          </w:p>
        </w:tc>
        <w:tc>
          <w:tcPr>
            <w:tcW w:w="480" w:type="pct"/>
            <w:noWrap w:val="0"/>
            <w:vAlign w:val="center"/>
          </w:tcPr>
          <w:p w14:paraId="3634CE00">
            <w:pPr>
              <w:pStyle w:val="45"/>
              <w:bidi w:val="0"/>
            </w:pPr>
            <w:r>
              <w:rPr>
                <w:rFonts w:hint="eastAsia"/>
              </w:rPr>
              <w:t>焚烧车间南侧</w:t>
            </w:r>
          </w:p>
        </w:tc>
        <w:tc>
          <w:tcPr>
            <w:tcW w:w="779" w:type="pct"/>
            <w:noWrap w:val="0"/>
            <w:vAlign w:val="center"/>
          </w:tcPr>
          <w:p w14:paraId="6DD816E8">
            <w:pPr>
              <w:pStyle w:val="45"/>
              <w:bidi w:val="0"/>
            </w:pPr>
            <w:r>
              <w:rPr>
                <w:rFonts w:hint="eastAsia"/>
              </w:rPr>
              <w:t>围堰</w:t>
            </w:r>
          </w:p>
        </w:tc>
      </w:tr>
    </w:tbl>
    <w:p w14:paraId="415FCC49">
      <w:pPr>
        <w:ind w:left="0" w:leftChars="0" w:firstLine="0" w:firstLineChars="0"/>
        <w:rPr>
          <w:rFonts w:hint="default" w:ascii="Times New Roman" w:hAnsi="Times New Roman" w:cs="Times New Roman"/>
          <w:color w:val="auto"/>
          <w:highlight w:val="none"/>
          <w:lang w:val="en-US" w:eastAsia="zh-CN"/>
        </w:rPr>
        <w:sectPr>
          <w:headerReference r:id="rId14" w:type="default"/>
          <w:footerReference r:id="rId15" w:type="default"/>
          <w:pgSz w:w="11906" w:h="16838"/>
          <w:pgMar w:top="1440" w:right="1800" w:bottom="1440" w:left="1800" w:header="794" w:footer="992" w:gutter="0"/>
          <w:pgNumType w:fmt="decimal" w:start="1"/>
          <w:cols w:space="425" w:num="1"/>
          <w:docGrid w:type="lines" w:linePitch="326" w:charSpace="0"/>
        </w:sectPr>
      </w:pPr>
    </w:p>
    <w:p w14:paraId="07C38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8279765" cy="5330825"/>
            <wp:effectExtent l="9525" t="9525" r="16510" b="1270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8279765" cy="5330825"/>
                    </a:xfrm>
                    <a:prstGeom prst="rect">
                      <a:avLst/>
                    </a:prstGeom>
                    <a:noFill/>
                    <a:ln>
                      <a:solidFill>
                        <a:schemeClr val="tx1"/>
                      </a:solidFill>
                    </a:ln>
                  </pic:spPr>
                </pic:pic>
              </a:graphicData>
            </a:graphic>
          </wp:inline>
        </w:drawing>
      </w:r>
    </w:p>
    <w:p w14:paraId="791B2B87">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厂区平面布置图</w:t>
      </w:r>
    </w:p>
    <w:p w14:paraId="18C87797">
      <w:pPr>
        <w:pStyle w:val="54"/>
        <w:spacing w:before="163" w:beforeLines="50" w:after="0" w:afterLines="0"/>
        <w:rPr>
          <w:rFonts w:hint="default" w:ascii="Times New Roman" w:hAnsi="Times New Roman" w:cs="Times New Roman" w:eastAsiaTheme="minorEastAsia"/>
          <w:b/>
          <w:color w:val="auto"/>
          <w:sz w:val="21"/>
          <w:highlight w:val="none"/>
        </w:rPr>
        <w:sectPr>
          <w:pgSz w:w="16838" w:h="11906" w:orient="landscape"/>
          <w:pgMar w:top="1440" w:right="1800" w:bottom="1440" w:left="1800" w:header="794" w:footer="992" w:gutter="0"/>
          <w:pgNumType w:fmt="decimal"/>
          <w:cols w:space="425" w:num="1"/>
          <w:docGrid w:type="lines" w:linePitch="326" w:charSpace="0"/>
        </w:sectPr>
      </w:pPr>
    </w:p>
    <w:p w14:paraId="430C799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项目实施了分区防渗措施，制定了有效的地下水监控和应急方案。项目废水管线均</w:t>
      </w:r>
      <w:r>
        <w:rPr>
          <w:rFonts w:hint="eastAsia" w:cs="Times New Roman"/>
          <w:color w:val="auto"/>
          <w:highlight w:val="none"/>
          <w:lang w:val="en-US" w:eastAsia="zh-CN"/>
        </w:rPr>
        <w:t>采用</w:t>
      </w:r>
      <w:r>
        <w:rPr>
          <w:rFonts w:hint="default" w:ascii="Times New Roman" w:hAnsi="Times New Roman" w:cs="Times New Roman"/>
          <w:color w:val="auto"/>
          <w:highlight w:val="none"/>
          <w:lang w:val="en-US" w:eastAsia="zh-CN"/>
        </w:rPr>
        <w:t>明管，雨水</w:t>
      </w:r>
      <w:r>
        <w:rPr>
          <w:rFonts w:hint="eastAsia" w:cs="Times New Roman"/>
          <w:color w:val="auto"/>
          <w:highlight w:val="none"/>
          <w:lang w:val="en-US" w:eastAsia="zh-CN"/>
        </w:rPr>
        <w:t>采用</w:t>
      </w:r>
      <w:r>
        <w:rPr>
          <w:rFonts w:hint="default" w:ascii="Times New Roman" w:hAnsi="Times New Roman" w:cs="Times New Roman"/>
          <w:color w:val="auto"/>
          <w:highlight w:val="none"/>
          <w:lang w:val="en-US" w:eastAsia="zh-CN"/>
        </w:rPr>
        <w:t>明沟收集。工艺废水管线、生产装置、罐区污水</w:t>
      </w:r>
      <w:r>
        <w:rPr>
          <w:rFonts w:hint="eastAsia" w:cs="Times New Roman"/>
          <w:color w:val="auto"/>
          <w:highlight w:val="none"/>
          <w:lang w:val="en-US" w:eastAsia="zh-CN"/>
        </w:rPr>
        <w:t>收集</w:t>
      </w:r>
      <w:r>
        <w:rPr>
          <w:rFonts w:hint="default" w:ascii="Times New Roman" w:hAnsi="Times New Roman" w:cs="Times New Roman"/>
          <w:color w:val="auto"/>
          <w:highlight w:val="none"/>
          <w:lang w:val="en-US" w:eastAsia="zh-CN"/>
        </w:rPr>
        <w:t>设施、固体废物贮存场所</w:t>
      </w:r>
      <w:r>
        <w:rPr>
          <w:rFonts w:hint="eastAsia" w:cs="Times New Roman"/>
          <w:color w:val="auto"/>
          <w:highlight w:val="none"/>
          <w:lang w:val="en-US" w:eastAsia="zh-CN"/>
        </w:rPr>
        <w:t>采取</w:t>
      </w:r>
      <w:r>
        <w:rPr>
          <w:rFonts w:hint="default" w:ascii="Times New Roman" w:hAnsi="Times New Roman" w:cs="Times New Roman"/>
          <w:color w:val="auto"/>
          <w:highlight w:val="none"/>
          <w:lang w:val="en-US" w:eastAsia="zh-CN"/>
        </w:rPr>
        <w:t>了防腐和防渗处理。</w:t>
      </w:r>
    </w:p>
    <w:p w14:paraId="49D9B110">
      <w:pPr>
        <w:pStyle w:val="4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 1.1-</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现有工程已采取的防腐、防渗等预防措施表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2959"/>
        <w:gridCol w:w="4645"/>
      </w:tblGrid>
      <w:tr w14:paraId="7DA9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14:paraId="3F7AA81E">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2959" w:type="dxa"/>
            <w:vAlign w:val="center"/>
          </w:tcPr>
          <w:p w14:paraId="19F7F019">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构筑物</w:t>
            </w:r>
          </w:p>
        </w:tc>
        <w:tc>
          <w:tcPr>
            <w:tcW w:w="4645" w:type="dxa"/>
            <w:vAlign w:val="center"/>
          </w:tcPr>
          <w:p w14:paraId="45812856">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防渗措施</w:t>
            </w:r>
          </w:p>
        </w:tc>
      </w:tr>
      <w:tr w14:paraId="4D42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14:paraId="067036CF">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2959" w:type="dxa"/>
            <w:vAlign w:val="center"/>
          </w:tcPr>
          <w:p w14:paraId="574B3389">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储罐区</w:t>
            </w:r>
          </w:p>
        </w:tc>
        <w:tc>
          <w:tcPr>
            <w:tcW w:w="4645" w:type="dxa"/>
            <w:vAlign w:val="center"/>
          </w:tcPr>
          <w:p w14:paraId="18D53884">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水泥基渗透结晶抗渗混凝土（厚度不小于150mm）水泥基渗透结晶型防渗涂层（厚度小于0.8mm）结构形式，防渗结构层渗透系数不大于1.0x10</w:t>
            </w:r>
            <w:r>
              <w:rPr>
                <w:rFonts w:hint="default" w:ascii="Times New Roman" w:hAnsi="Times New Roman" w:cs="Times New Roman"/>
                <w:color w:val="auto"/>
                <w:highlight w:val="none"/>
                <w:vertAlign w:val="superscript"/>
                <w:lang w:val="en-US" w:eastAsia="zh-CN"/>
              </w:rPr>
              <w:t>-10</w:t>
            </w:r>
            <w:r>
              <w:rPr>
                <w:rFonts w:hint="default" w:ascii="Times New Roman" w:hAnsi="Times New Roman" w:cs="Times New Roman"/>
                <w:color w:val="auto"/>
                <w:highlight w:val="none"/>
                <w:lang w:val="en-US" w:eastAsia="zh-CN"/>
              </w:rPr>
              <w:t>cm/s。</w:t>
            </w:r>
          </w:p>
        </w:tc>
      </w:tr>
      <w:tr w14:paraId="7C4E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14:paraId="306DC5F1">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2959" w:type="dxa"/>
            <w:vAlign w:val="center"/>
          </w:tcPr>
          <w:p w14:paraId="1C88E63E">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生产车间</w:t>
            </w:r>
          </w:p>
        </w:tc>
        <w:tc>
          <w:tcPr>
            <w:tcW w:w="4645" w:type="dxa"/>
            <w:vAlign w:val="center"/>
          </w:tcPr>
          <w:p w14:paraId="5EA41205">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地面采用抗渗混凝土硬化（厚度不小于100mm），渗透系数不大于1.0x10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w:t>
            </w:r>
          </w:p>
        </w:tc>
      </w:tr>
      <w:tr w14:paraId="0070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14:paraId="7CC0C02A">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2959" w:type="dxa"/>
            <w:vAlign w:val="center"/>
          </w:tcPr>
          <w:p w14:paraId="06E24EA8">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应急池、污水处理站等</w:t>
            </w:r>
          </w:p>
        </w:tc>
        <w:tc>
          <w:tcPr>
            <w:tcW w:w="4645" w:type="dxa"/>
            <w:vAlign w:val="center"/>
          </w:tcPr>
          <w:p w14:paraId="2023B3A3">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水泥基渗透结晶抗渗混凝土（厚度不小于150mm）水泥基渗透结品型防渗涂层（厚度不小于0.8mm）结构形式，防渗结构层渗透系数不大于1.0x10</w:t>
            </w:r>
            <w:r>
              <w:rPr>
                <w:rFonts w:hint="default" w:ascii="Times New Roman" w:hAnsi="Times New Roman" w:cs="Times New Roman"/>
                <w:color w:val="auto"/>
                <w:highlight w:val="none"/>
                <w:vertAlign w:val="superscript"/>
                <w:lang w:val="en-US" w:eastAsia="zh-CN"/>
              </w:rPr>
              <w:t>-10</w:t>
            </w:r>
            <w:r>
              <w:rPr>
                <w:rFonts w:hint="default" w:ascii="Times New Roman" w:hAnsi="Times New Roman" w:cs="Times New Roman"/>
                <w:color w:val="auto"/>
                <w:highlight w:val="none"/>
                <w:lang w:val="en-US" w:eastAsia="zh-CN"/>
              </w:rPr>
              <w:t>cm/s。</w:t>
            </w:r>
          </w:p>
        </w:tc>
      </w:tr>
    </w:tbl>
    <w:p w14:paraId="12C69806">
      <w:pPr>
        <w:numPr>
          <w:ilvl w:val="0"/>
          <w:numId w:val="3"/>
        </w:num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废水</w:t>
      </w:r>
    </w:p>
    <w:p w14:paraId="46FD11D1">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项目废水包括工艺废水、设备及地面冲洗水、生活污水、初期雨水</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lang w:eastAsia="zh-CN"/>
        </w:rPr>
        <w:t>。</w:t>
      </w:r>
    </w:p>
    <w:p w14:paraId="36D1C939">
      <w:pPr>
        <w:bidi w:val="0"/>
        <w:rPr>
          <w:b/>
          <w:bCs/>
          <w:color w:val="auto"/>
        </w:rPr>
      </w:pPr>
      <w:r>
        <w:rPr>
          <w:b/>
          <w:bCs/>
          <w:color w:val="auto"/>
          <w:lang w:val="en-US" w:eastAsia="zh-CN"/>
        </w:rPr>
        <w:t>（</w:t>
      </w:r>
      <w:r>
        <w:rPr>
          <w:rFonts w:hint="default"/>
          <w:b/>
          <w:bCs/>
          <w:color w:val="auto"/>
          <w:lang w:val="en-US" w:eastAsia="zh-CN"/>
        </w:rPr>
        <w:t>1</w:t>
      </w:r>
      <w:r>
        <w:rPr>
          <w:rFonts w:hint="eastAsia"/>
          <w:b/>
          <w:bCs/>
          <w:color w:val="auto"/>
          <w:lang w:val="en-US" w:eastAsia="zh-CN"/>
        </w:rPr>
        <w:t>）工艺废水</w:t>
      </w:r>
    </w:p>
    <w:p w14:paraId="15818BB8">
      <w:pPr>
        <w:bidi w:val="0"/>
        <w:rPr>
          <w:color w:val="auto"/>
        </w:rPr>
      </w:pPr>
      <w:r>
        <w:rPr>
          <w:color w:val="auto"/>
          <w:lang w:val="en-US" w:eastAsia="zh-CN"/>
        </w:rPr>
        <w:t>工艺废水先经蒸发析盐处理后和水环真空泵排水、设备及地面</w:t>
      </w:r>
      <w:r>
        <w:rPr>
          <w:rFonts w:hint="eastAsia"/>
          <w:color w:val="auto"/>
          <w:lang w:val="en-US" w:eastAsia="zh-CN"/>
        </w:rPr>
        <w:t>冲洗水、生活污水、初期雨水混合后送入公司污水处理站预处理，再排入园区污水处理厂深度处理后排放。</w:t>
      </w:r>
    </w:p>
    <w:p w14:paraId="4D1D06D9">
      <w:pPr>
        <w:bidi w:val="0"/>
        <w:rPr>
          <w:b/>
          <w:bCs/>
          <w:color w:val="auto"/>
        </w:rPr>
      </w:pPr>
      <w:r>
        <w:rPr>
          <w:b/>
          <w:bCs/>
          <w:color w:val="auto"/>
          <w:lang w:val="en-US" w:eastAsia="zh-CN"/>
        </w:rPr>
        <w:t>（</w:t>
      </w:r>
      <w:r>
        <w:rPr>
          <w:rFonts w:hint="eastAsia"/>
          <w:b/>
          <w:bCs/>
          <w:color w:val="auto"/>
          <w:lang w:val="en-US" w:eastAsia="zh-CN"/>
        </w:rPr>
        <w:t xml:space="preserve">2）水环真空泵排水 </w:t>
      </w:r>
    </w:p>
    <w:p w14:paraId="5D08A27B">
      <w:pPr>
        <w:bidi w:val="0"/>
        <w:rPr>
          <w:color w:val="auto"/>
        </w:rPr>
      </w:pPr>
      <w:r>
        <w:rPr>
          <w:rFonts w:hint="eastAsia"/>
          <w:color w:val="auto"/>
          <w:lang w:val="en-US" w:eastAsia="zh-CN"/>
        </w:rPr>
        <w:t>项目在使用水环泵对反应釜、分馏精馏装置抽取真空过程中，会</w:t>
      </w:r>
      <w:r>
        <w:rPr>
          <w:color w:val="auto"/>
          <w:lang w:val="en-US" w:eastAsia="zh-CN"/>
        </w:rPr>
        <w:t>产生水环真空泵排水，</w:t>
      </w:r>
      <w:r>
        <w:rPr>
          <w:rFonts w:hint="eastAsia"/>
          <w:color w:val="auto"/>
          <w:lang w:val="en-US" w:eastAsia="zh-CN"/>
        </w:rPr>
        <w:t>和工艺废水、设备及地面冲洗水、生活污水、初期雨水混合后送入公司污水处理站预处理，再排入园区污水处理厂深度处理后排放。</w:t>
      </w:r>
    </w:p>
    <w:p w14:paraId="25C2F4EC">
      <w:pPr>
        <w:bidi w:val="0"/>
        <w:rPr>
          <w:b/>
          <w:bCs/>
          <w:color w:val="auto"/>
        </w:rPr>
      </w:pPr>
      <w:r>
        <w:rPr>
          <w:b/>
          <w:bCs/>
          <w:color w:val="auto"/>
          <w:lang w:val="en-US" w:eastAsia="zh-CN"/>
        </w:rPr>
        <w:t>（</w:t>
      </w:r>
      <w:r>
        <w:rPr>
          <w:rFonts w:hint="default"/>
          <w:b/>
          <w:bCs/>
          <w:color w:val="auto"/>
          <w:lang w:val="en-US" w:eastAsia="zh-CN"/>
        </w:rPr>
        <w:t>3</w:t>
      </w:r>
      <w:r>
        <w:rPr>
          <w:rFonts w:hint="eastAsia"/>
          <w:b/>
          <w:bCs/>
          <w:color w:val="auto"/>
          <w:lang w:val="en-US" w:eastAsia="zh-CN"/>
        </w:rPr>
        <w:t>）设备及地面冲洗水</w:t>
      </w:r>
    </w:p>
    <w:p w14:paraId="4B5BD6BF">
      <w:pPr>
        <w:bidi w:val="0"/>
        <w:rPr>
          <w:color w:val="auto"/>
        </w:rPr>
      </w:pPr>
      <w:r>
        <w:rPr>
          <w:rFonts w:hint="eastAsia"/>
          <w:color w:val="auto"/>
          <w:lang w:val="en-US" w:eastAsia="zh-CN"/>
        </w:rPr>
        <w:t xml:space="preserve">项目设备及地面冲洗废水和工艺废水、水环真空泵排水、生活污水、初期雨水混合后送入公司污水处理站预处理，再排入园区污水处理厂深度处理后排放。 </w:t>
      </w:r>
    </w:p>
    <w:p w14:paraId="5257DA90">
      <w:pPr>
        <w:bidi w:val="0"/>
        <w:rPr>
          <w:b/>
          <w:bCs/>
          <w:color w:val="auto"/>
        </w:rPr>
      </w:pPr>
      <w:r>
        <w:rPr>
          <w:rFonts w:hint="eastAsia"/>
          <w:b/>
          <w:bCs/>
          <w:color w:val="auto"/>
          <w:lang w:val="en-US" w:eastAsia="zh-CN"/>
        </w:rPr>
        <w:t>（</w:t>
      </w:r>
      <w:r>
        <w:rPr>
          <w:rFonts w:hint="default"/>
          <w:b/>
          <w:bCs/>
          <w:color w:val="auto"/>
          <w:lang w:val="en-US" w:eastAsia="zh-CN"/>
        </w:rPr>
        <w:t>4</w:t>
      </w:r>
      <w:r>
        <w:rPr>
          <w:rFonts w:hint="eastAsia"/>
          <w:b/>
          <w:bCs/>
          <w:color w:val="auto"/>
          <w:lang w:val="en-US" w:eastAsia="zh-CN"/>
        </w:rPr>
        <w:t xml:space="preserve">）生活污水 </w:t>
      </w:r>
    </w:p>
    <w:p w14:paraId="057B55A3">
      <w:pPr>
        <w:bidi w:val="0"/>
        <w:rPr>
          <w:color w:val="auto"/>
        </w:rPr>
      </w:pPr>
      <w:r>
        <w:rPr>
          <w:rFonts w:hint="eastAsia"/>
          <w:color w:val="auto"/>
          <w:lang w:val="en-US" w:eastAsia="zh-CN"/>
        </w:rPr>
        <w:t xml:space="preserve">生活污水和工艺废水、水环真空泵排水、设备及地面冲洗水、初期雨水混合后送入公司污水处理站预处理，再排入园区污水处理厂深度处理后排放。 </w:t>
      </w:r>
    </w:p>
    <w:p w14:paraId="2E76FB3B">
      <w:pPr>
        <w:bidi w:val="0"/>
        <w:rPr>
          <w:b/>
          <w:bCs/>
          <w:color w:val="auto"/>
        </w:rPr>
      </w:pPr>
      <w:r>
        <w:rPr>
          <w:rFonts w:hint="eastAsia"/>
          <w:b/>
          <w:bCs/>
          <w:color w:val="auto"/>
          <w:lang w:val="en-US" w:eastAsia="zh-CN"/>
        </w:rPr>
        <w:t>（</w:t>
      </w:r>
      <w:r>
        <w:rPr>
          <w:rFonts w:hint="default"/>
          <w:b/>
          <w:bCs/>
          <w:color w:val="auto"/>
          <w:lang w:val="en-US" w:eastAsia="zh-CN"/>
        </w:rPr>
        <w:t>5</w:t>
      </w:r>
      <w:r>
        <w:rPr>
          <w:rFonts w:hint="eastAsia"/>
          <w:b/>
          <w:bCs/>
          <w:color w:val="auto"/>
          <w:lang w:val="en-US" w:eastAsia="zh-CN"/>
        </w:rPr>
        <w:t xml:space="preserve">）雨水 </w:t>
      </w:r>
    </w:p>
    <w:p w14:paraId="7309575E">
      <w:pPr>
        <w:bidi w:val="0"/>
        <w:rPr>
          <w:color w:val="auto"/>
        </w:rPr>
      </w:pPr>
      <w:r>
        <w:rPr>
          <w:rFonts w:hint="default"/>
          <w:color w:val="auto"/>
          <w:lang w:val="en-US" w:eastAsia="zh-CN"/>
        </w:rPr>
        <w:t>雨水通过雨水明沟收集汇入车间初期雨水池，车间雨水池的雨水打入污水处理站，后期雨水进入公司雨水明沟，汇入雨水排放口暂存池，达标雨水排入崔福河。</w:t>
      </w:r>
    </w:p>
    <w:p w14:paraId="390A97E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污水均排入车间污水收集池再由污水泵通过明管打入公司污水站处理达到纳管标准后排入园区污水厂2#污水收集池。</w:t>
      </w:r>
      <w:r>
        <w:rPr>
          <w:rFonts w:hint="default" w:ascii="Times New Roman" w:hAnsi="Times New Roman" w:cs="Times New Roman"/>
          <w:color w:val="auto"/>
          <w:highlight w:val="none"/>
        </w:rPr>
        <w:t>公司建有废水预处理设施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污水处理站）</w:t>
      </w:r>
      <w:r>
        <w:rPr>
          <w:rFonts w:hint="default" w:ascii="Times New Roman" w:hAnsi="Times New Roman" w:cs="Times New Roman"/>
          <w:color w:val="auto"/>
          <w:highlight w:val="none"/>
        </w:rPr>
        <w:t>一套，排污许可年排放废水</w:t>
      </w:r>
      <w:r>
        <w:rPr>
          <w:rFonts w:hint="default" w:ascii="Times New Roman" w:hAnsi="Times New Roman" w:cs="Times New Roman"/>
          <w:color w:val="auto"/>
          <w:highlight w:val="none"/>
          <w:lang w:val="en-US" w:eastAsia="zh-CN"/>
        </w:rPr>
        <w:t>许可</w:t>
      </w:r>
      <w:r>
        <w:rPr>
          <w:rFonts w:hint="default" w:ascii="Times New Roman" w:hAnsi="Times New Roman" w:cs="Times New Roman"/>
          <w:color w:val="auto"/>
          <w:highlight w:val="none"/>
        </w:rPr>
        <w:t>量1</w:t>
      </w:r>
      <w:r>
        <w:rPr>
          <w:rFonts w:hint="default" w:ascii="Times New Roman" w:hAnsi="Times New Roman" w:cs="Times New Roman"/>
          <w:color w:val="auto"/>
          <w:highlight w:val="none"/>
          <w:lang w:val="en-US" w:eastAsia="zh-CN"/>
        </w:rPr>
        <w:t>45693.02</w:t>
      </w:r>
      <w:r>
        <w:rPr>
          <w:rFonts w:hint="default" w:ascii="Times New Roman" w:hAnsi="Times New Roman" w:cs="Times New Roman"/>
          <w:color w:val="auto"/>
          <w:highlight w:val="none"/>
        </w:rPr>
        <w:t>吨，202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年排放废水量为</w:t>
      </w:r>
      <w:r>
        <w:rPr>
          <w:rFonts w:hint="default" w:ascii="Times New Roman" w:hAnsi="Times New Roman" w:cs="Times New Roman"/>
          <w:color w:val="auto"/>
          <w:highlight w:val="none"/>
          <w:lang w:val="en-US" w:eastAsia="zh-CN"/>
        </w:rPr>
        <w:t>83485</w:t>
      </w:r>
      <w:r>
        <w:rPr>
          <w:rFonts w:hint="default" w:ascii="Times New Roman" w:hAnsi="Times New Roman" w:cs="Times New Roman"/>
          <w:color w:val="auto"/>
          <w:highlight w:val="none"/>
        </w:rPr>
        <w:t>吨，主要工艺如下：</w:t>
      </w:r>
    </w:p>
    <w:p w14:paraId="03270D4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公司废水采取废水分质处理方案，对高含盐废水分类收集后送入厂区5t/h蒸发器装置进行蒸发析盐预处理，去除掉大部分的盐分物质和部分有机物，预处理后的工艺废水再和其他废水混合，采用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中和曝气-混凝-沉淀</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组合工艺再进行物化处理。废水经处理后通过</w:t>
      </w:r>
      <w:r>
        <w:rPr>
          <w:rFonts w:hint="default" w:ascii="Times New Roman" w:hAnsi="Times New Roman" w:cs="Times New Roman"/>
          <w:color w:val="auto"/>
          <w:highlight w:val="none"/>
          <w:lang w:val="en-US" w:eastAsia="zh-CN"/>
        </w:rPr>
        <w:t>出水</w:t>
      </w:r>
      <w:r>
        <w:rPr>
          <w:rFonts w:hint="default" w:ascii="Times New Roman" w:hAnsi="Times New Roman" w:cs="Times New Roman"/>
          <w:color w:val="auto"/>
          <w:highlight w:val="none"/>
        </w:rPr>
        <w:t>池达标排放，接入园区污水管网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出水池水泵打至园区2号废水集中池，再打至常熟中法工业水处理有限公司）</w:t>
      </w:r>
      <w:r>
        <w:rPr>
          <w:rFonts w:hint="default" w:ascii="Times New Roman" w:hAnsi="Times New Roman" w:cs="Times New Roman"/>
          <w:color w:val="auto"/>
          <w:highlight w:val="none"/>
        </w:rPr>
        <w:t>。排水中各类污染物浓度满足常熟中法工业水处理有限公司接管标准</w:t>
      </w:r>
      <w:r>
        <w:rPr>
          <w:rFonts w:hint="default" w:ascii="Times New Roman" w:hAnsi="Times New Roman" w:cs="Times New Roman"/>
          <w:color w:val="auto"/>
          <w:highlight w:val="none"/>
          <w:lang w:val="en-US" w:eastAsia="zh-CN"/>
        </w:rPr>
        <w:t>和《石油化学工业污染物排放标准》GB31571-2015的</w:t>
      </w:r>
      <w:r>
        <w:rPr>
          <w:rFonts w:hint="default" w:ascii="Times New Roman" w:hAnsi="Times New Roman" w:cs="Times New Roman"/>
          <w:color w:val="auto"/>
          <w:highlight w:val="none"/>
        </w:rPr>
        <w:t>要求。废水能够稳定达标排放。</w:t>
      </w:r>
    </w:p>
    <w:p w14:paraId="69E372F6">
      <w:pPr>
        <w:numPr>
          <w:ilvl w:val="0"/>
          <w:numId w:val="0"/>
        </w:num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427855" cy="4333875"/>
            <wp:effectExtent l="0" t="0" r="1079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4427855" cy="4333875"/>
                    </a:xfrm>
                    <a:prstGeom prst="rect">
                      <a:avLst/>
                    </a:prstGeom>
                    <a:noFill/>
                    <a:ln>
                      <a:noFill/>
                    </a:ln>
                  </pic:spPr>
                </pic:pic>
              </a:graphicData>
            </a:graphic>
          </wp:inline>
        </w:drawing>
      </w:r>
    </w:p>
    <w:p w14:paraId="334FDB68">
      <w:pPr>
        <w:pStyle w:val="4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 1.1-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公司废水处理站污水处理工艺流程图</w:t>
      </w:r>
    </w:p>
    <w:p w14:paraId="0DF0F6E6">
      <w:pPr>
        <w:numPr>
          <w:ilvl w:val="0"/>
          <w:numId w:val="3"/>
        </w:numPr>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废气</w:t>
      </w:r>
    </w:p>
    <w:p w14:paraId="6C246B55">
      <w:pPr>
        <w:bidi w:val="0"/>
        <w:rPr>
          <w:rFonts w:hint="default"/>
          <w:b/>
          <w:bCs/>
          <w:color w:val="auto"/>
          <w:lang w:val="en-US" w:eastAsia="zh-CN"/>
        </w:rPr>
      </w:pPr>
      <w:r>
        <w:rPr>
          <w:rFonts w:hint="eastAsia"/>
          <w:b/>
          <w:bCs/>
          <w:color w:val="auto"/>
          <w:lang w:val="en-US" w:eastAsia="zh-CN"/>
        </w:rPr>
        <w:t>（1）工艺废气</w:t>
      </w:r>
    </w:p>
    <w:p w14:paraId="6FD36C4F">
      <w:pPr>
        <w:bidi w:val="0"/>
        <w:rPr>
          <w:rFonts w:cs="Times New Roman"/>
          <w:color w:val="auto"/>
        </w:rPr>
      </w:pPr>
      <w:r>
        <w:rPr>
          <w:color w:val="auto"/>
        </w:rPr>
        <w:t>在生产过程中会产生工艺废气</w:t>
      </w:r>
      <w:r>
        <w:rPr>
          <w:rFonts w:hint="eastAsia"/>
          <w:color w:val="auto"/>
          <w:lang w:eastAsia="zh-CN"/>
        </w:rPr>
        <w:t>，</w:t>
      </w:r>
      <w:r>
        <w:rPr>
          <w:rFonts w:cs="Times New Roman"/>
          <w:color w:val="auto"/>
        </w:rPr>
        <w:t>收集后送焚烧炉焚烧处理，最终无害化排放。项目废气全部通过管道等密闭设备进行收集处理，收集效率接近100%，可有效避免无组织废气的挥发；管道输过程中的逸散量纳入动静密封点废气中计算。废</w:t>
      </w:r>
      <w:r>
        <w:rPr>
          <w:rFonts w:cs="Times New Roman"/>
          <w:color w:val="auto"/>
          <w:highlight w:val="none"/>
        </w:rPr>
        <w:t>气收集管道</w:t>
      </w:r>
      <w:r>
        <w:rPr>
          <w:rFonts w:hint="eastAsia" w:cs="Times New Roman"/>
          <w:color w:val="auto"/>
          <w:highlight w:val="none"/>
          <w:lang w:val="en-US" w:eastAsia="zh-CN"/>
        </w:rPr>
        <w:t>采用</w:t>
      </w:r>
      <w:r>
        <w:rPr>
          <w:rFonts w:cs="Times New Roman"/>
          <w:color w:val="auto"/>
          <w:highlight w:val="none"/>
        </w:rPr>
        <w:t>PP管材管径一般为0.1-0.3m。</w:t>
      </w:r>
    </w:p>
    <w:p w14:paraId="6F649F38">
      <w:pPr>
        <w:bidi w:val="0"/>
        <w:rPr>
          <w:rFonts w:hint="default"/>
          <w:color w:val="auto"/>
          <w:lang w:val="en-US" w:eastAsia="zh-CN"/>
        </w:rPr>
      </w:pPr>
      <w:r>
        <w:rPr>
          <w:rFonts w:hint="default"/>
          <w:color w:val="auto"/>
          <w:lang w:val="en-US" w:eastAsia="zh-CN"/>
        </w:rPr>
        <w:t>焚烧工艺为高温焚烧、急冷、酸液吸收、碱液洗涤等四个过程。单套焚烧装置主要由焚烧炉、石墨急冷塔、换热器、一级降膜吸收器、二级降膜吸收器、水洗填料塔、碱洗填料塔、气液分离器、高位水罐、烟囱（公共）等静设备以及助燃风机、引风机、急冷塔酸液循环泵-级降膜酸液循环泵、二级降膜酸液循环泵、水液循环泵、碱液循环泵等设备组成。</w:t>
      </w:r>
    </w:p>
    <w:p w14:paraId="0EB40FAA">
      <w:pPr>
        <w:numPr>
          <w:ilvl w:val="0"/>
          <w:numId w:val="0"/>
        </w:num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436245</wp:posOffset>
                </wp:positionH>
                <wp:positionV relativeFrom="paragraph">
                  <wp:posOffset>328295</wp:posOffset>
                </wp:positionV>
                <wp:extent cx="744855" cy="216535"/>
                <wp:effectExtent l="6350" t="6350" r="10795" b="24765"/>
                <wp:wrapNone/>
                <wp:docPr id="44" name="矩形 44"/>
                <wp:cNvGraphicFramePr/>
                <a:graphic xmlns:a="http://schemas.openxmlformats.org/drawingml/2006/main">
                  <a:graphicData uri="http://schemas.microsoft.com/office/word/2010/wordprocessingShape">
                    <wps:wsp>
                      <wps:cNvSpPr/>
                      <wps:spPr>
                        <a:xfrm>
                          <a:off x="1579245" y="3435350"/>
                          <a:ext cx="744855" cy="21653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35pt;margin-top:25.85pt;height:17.05pt;width:58.65pt;z-index:251669504;v-text-anchor:middle;mso-width-relative:page;mso-height-relative:page;" fillcolor="#FFFFFF [3212]" filled="t" stroked="t" coordsize="21600,21600" o:gfxdata="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D04Cv1gAAAAgBAAAPAAAAAAAAAAEAIAAAACIAAABkcnMv&#10;ZG93bnJldi54bWxQSwECFAAUAAAACACHTuJAxDanLXcCAAABBQAADgAAAAAAAAABACAAAAAlAQAA&#10;ZHJzL2Uyb0RvYy54bWxQSwUGAAAAAAYABgBZAQAADgYAAAAA&#10;">
                <v:fill on="t" focussize="0,0"/>
                <v:stroke weight="1pt" color="#FFFFFF [3212]" miterlimit="8" joinstyle="miter"/>
                <v:imagedata o:title=""/>
                <o:lock v:ext="edit" aspectratio="f"/>
              </v:rect>
            </w:pict>
          </mc:Fallback>
        </mc:AlternateContent>
      </w:r>
      <w:r>
        <w:rPr>
          <w:color w:val="auto"/>
        </w:rPr>
        <w:drawing>
          <wp:inline distT="0" distB="0" distL="114300" distR="114300">
            <wp:extent cx="4860290" cy="1768475"/>
            <wp:effectExtent l="0" t="0" r="16510" b="31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0"/>
                    <a:stretch>
                      <a:fillRect/>
                    </a:stretch>
                  </pic:blipFill>
                  <pic:spPr>
                    <a:xfrm>
                      <a:off x="0" y="0"/>
                      <a:ext cx="4860290" cy="1768475"/>
                    </a:xfrm>
                    <a:prstGeom prst="rect">
                      <a:avLst/>
                    </a:prstGeom>
                    <a:noFill/>
                    <a:ln>
                      <a:noFill/>
                    </a:ln>
                  </pic:spPr>
                </pic:pic>
              </a:graphicData>
            </a:graphic>
          </wp:inline>
        </w:drawing>
      </w:r>
    </w:p>
    <w:p w14:paraId="713B0281">
      <w:pPr>
        <w:pStyle w:val="4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 1.1-</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废气焚烧炉焚烧处理工艺流程图</w:t>
      </w:r>
    </w:p>
    <w:p w14:paraId="57BE0646">
      <w:pPr>
        <w:numPr>
          <w:ilvl w:val="0"/>
          <w:numId w:val="4"/>
        </w:numPr>
        <w:bidi w:val="0"/>
        <w:rPr>
          <w:rFonts w:hint="eastAsia"/>
          <w:b/>
          <w:bCs/>
          <w:color w:val="auto"/>
          <w:lang w:val="en-US" w:eastAsia="zh-CN"/>
        </w:rPr>
      </w:pPr>
      <w:r>
        <w:rPr>
          <w:rFonts w:hint="eastAsia"/>
          <w:b/>
          <w:bCs/>
          <w:color w:val="auto"/>
          <w:lang w:val="en-US" w:eastAsia="zh-CN"/>
        </w:rPr>
        <w:t>无组织废气</w:t>
      </w:r>
    </w:p>
    <w:p w14:paraId="2F114991">
      <w:pPr>
        <w:bidi w:val="0"/>
        <w:rPr>
          <w:color w:val="auto"/>
        </w:rPr>
      </w:pPr>
      <w:r>
        <w:rPr>
          <w:color w:val="auto"/>
        </w:rPr>
        <w:t>在生产环节和储运环节都可能有微量挥发成为无组织排放。储罐的无组织废气主要为物料蒸发损失产生。</w:t>
      </w:r>
    </w:p>
    <w:p w14:paraId="3B44029C">
      <w:pPr>
        <w:bidi w:val="0"/>
        <w:rPr>
          <w:rFonts w:hint="default"/>
          <w:color w:val="auto"/>
          <w:lang w:val="en-US" w:eastAsia="zh-CN"/>
        </w:rPr>
      </w:pPr>
      <w:r>
        <w:rPr>
          <w:color w:val="auto"/>
        </w:rPr>
        <w:t>无组织排放亦包括各个装置的阀门、管线、泵等在运行中因跑、冒、滴、漏等逸散到大气中的废气。储存过程中装料、卸料时产生的废气。</w:t>
      </w:r>
    </w:p>
    <w:p w14:paraId="0DF03596">
      <w:pPr>
        <w:bidi w:val="0"/>
        <w:rPr>
          <w:color w:val="auto"/>
        </w:rPr>
      </w:pPr>
      <w:r>
        <w:rPr>
          <w:color w:val="auto"/>
        </w:rPr>
        <w:t>项目无组织废气采取的控制措施有：</w:t>
      </w:r>
    </w:p>
    <w:p w14:paraId="3EA82B0B">
      <w:pPr>
        <w:bidi w:val="0"/>
        <w:rPr>
          <w:color w:val="auto"/>
        </w:rPr>
      </w:pPr>
      <w:r>
        <w:rPr>
          <w:color w:val="auto"/>
        </w:rPr>
        <w:t>a.加强厂区绿化，设置绿化隔离带和一定的卫生防护距离，以减少无组织排放的气体对周围环境的影响。</w:t>
      </w:r>
    </w:p>
    <w:p w14:paraId="10FE5A6B">
      <w:pPr>
        <w:bidi w:val="0"/>
        <w:rPr>
          <w:color w:val="auto"/>
        </w:rPr>
      </w:pPr>
      <w:r>
        <w:rPr>
          <w:color w:val="auto"/>
        </w:rPr>
        <w:t>b.定期检查生产设备，并测试储罐密封性能。</w:t>
      </w:r>
    </w:p>
    <w:p w14:paraId="1E169430">
      <w:pPr>
        <w:bidi w:val="0"/>
        <w:rPr>
          <w:rFonts w:hint="default"/>
          <w:color w:val="auto"/>
        </w:rPr>
      </w:pPr>
      <w:r>
        <w:rPr>
          <w:color w:val="auto"/>
        </w:rPr>
        <w:t>c.由训练有素的操作人员按操作规程操作。</w:t>
      </w:r>
    </w:p>
    <w:p w14:paraId="54CAFB38">
      <w:pPr>
        <w:numPr>
          <w:ilvl w:val="0"/>
          <w:numId w:val="3"/>
        </w:numPr>
        <w:bidi w:val="0"/>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固废</w:t>
      </w:r>
    </w:p>
    <w:p w14:paraId="652C3F34">
      <w:pPr>
        <w:bidi w:val="0"/>
        <w:rPr>
          <w:color w:val="auto"/>
        </w:rPr>
        <w:sectPr>
          <w:headerReference r:id="rId16" w:type="default"/>
          <w:footerReference r:id="rId17" w:type="default"/>
          <w:pgSz w:w="11906" w:h="16838"/>
          <w:pgMar w:top="1440" w:right="1797" w:bottom="1440" w:left="1797" w:header="851" w:footer="992" w:gutter="0"/>
          <w:pgNumType w:fmt="decimal"/>
          <w:cols w:space="425" w:num="1"/>
          <w:docGrid w:type="lines" w:linePitch="312" w:charSpace="0"/>
        </w:sectPr>
      </w:pPr>
      <w:r>
        <w:rPr>
          <w:rFonts w:hint="eastAsia"/>
          <w:color w:val="auto"/>
          <w:lang w:val="en-US" w:eastAsia="zh-CN"/>
        </w:rPr>
        <w:t>企业</w:t>
      </w:r>
      <w:r>
        <w:rPr>
          <w:color w:val="auto"/>
        </w:rPr>
        <w:t>固废</w:t>
      </w:r>
      <w:r>
        <w:rPr>
          <w:rFonts w:hint="eastAsia"/>
          <w:color w:val="auto"/>
          <w:lang w:val="en-US" w:eastAsia="zh-CN"/>
        </w:rPr>
        <w:t>产生</w:t>
      </w:r>
      <w:r>
        <w:rPr>
          <w:color w:val="auto"/>
        </w:rPr>
        <w:t>及处置情况详见</w:t>
      </w:r>
      <w:r>
        <w:rPr>
          <w:rFonts w:hint="eastAsia"/>
          <w:color w:val="auto"/>
          <w:lang w:val="en-US" w:eastAsia="zh-CN"/>
        </w:rPr>
        <w:t>下表</w:t>
      </w:r>
      <w:r>
        <w:rPr>
          <w:color w:val="auto"/>
        </w:rPr>
        <w:t>。</w:t>
      </w:r>
    </w:p>
    <w:p w14:paraId="1E6244E0">
      <w:pPr>
        <w:pStyle w:val="46"/>
        <w:bidi w:val="0"/>
        <w:rPr>
          <w:rFonts w:hint="default"/>
          <w:color w:val="auto"/>
          <w:highlight w:val="none"/>
          <w:lang w:val="en-US" w:eastAsia="zh-CN"/>
        </w:rPr>
      </w:pPr>
      <w:r>
        <w:rPr>
          <w:rFonts w:hint="default"/>
          <w:color w:val="auto"/>
          <w:highlight w:val="none"/>
          <w:lang w:val="en-US" w:eastAsia="zh-CN"/>
        </w:rPr>
        <w:t>表 1.1-</w:t>
      </w:r>
      <w:r>
        <w:rPr>
          <w:rFonts w:hint="eastAsia"/>
          <w:color w:val="auto"/>
          <w:highlight w:val="none"/>
          <w:lang w:val="en-US" w:eastAsia="zh-CN"/>
        </w:rPr>
        <w:t>6</w:t>
      </w:r>
      <w:r>
        <w:rPr>
          <w:rFonts w:hint="default"/>
          <w:color w:val="auto"/>
          <w:highlight w:val="none"/>
          <w:lang w:val="en-US" w:eastAsia="zh-CN"/>
        </w:rPr>
        <w:t xml:space="preserve"> 固废产生及处置情况</w:t>
      </w:r>
      <w:r>
        <w:rPr>
          <w:rFonts w:hint="eastAsia"/>
          <w:color w:val="auto"/>
          <w:highlight w:val="none"/>
          <w:lang w:val="en-US" w:eastAsia="zh-CN"/>
        </w:rPr>
        <w:t>（2025年1月更新）</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7"/>
        <w:gridCol w:w="1424"/>
        <w:gridCol w:w="1478"/>
        <w:gridCol w:w="1435"/>
        <w:gridCol w:w="1832"/>
        <w:gridCol w:w="1050"/>
        <w:gridCol w:w="1069"/>
        <w:gridCol w:w="1664"/>
        <w:gridCol w:w="1404"/>
        <w:gridCol w:w="2092"/>
      </w:tblGrid>
      <w:tr w14:paraId="1C72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0" w:hRule="atLeast"/>
          <w:tblHeader/>
          <w:jc w:val="center"/>
        </w:trPr>
        <w:tc>
          <w:tcPr>
            <w:tcW w:w="253" w:type="pct"/>
            <w:shd w:val="clear" w:color="auto" w:fill="auto"/>
            <w:vAlign w:val="center"/>
          </w:tcPr>
          <w:p w14:paraId="1A80C34C">
            <w:pPr>
              <w:pStyle w:val="45"/>
              <w:bidi w:val="0"/>
              <w:rPr>
                <w:rFonts w:hint="eastAsia"/>
              </w:rPr>
            </w:pPr>
            <w:r>
              <w:rPr>
                <w:rFonts w:hint="eastAsia"/>
                <w:lang w:val="en-US" w:eastAsia="zh-CN"/>
              </w:rPr>
              <w:t>序号</w:t>
            </w:r>
          </w:p>
        </w:tc>
        <w:tc>
          <w:tcPr>
            <w:tcW w:w="502" w:type="pct"/>
            <w:shd w:val="clear" w:color="auto" w:fill="auto"/>
            <w:vAlign w:val="center"/>
          </w:tcPr>
          <w:p w14:paraId="07CBC71C">
            <w:pPr>
              <w:pStyle w:val="45"/>
              <w:bidi w:val="0"/>
              <w:rPr>
                <w:rFonts w:hint="eastAsia"/>
              </w:rPr>
            </w:pPr>
            <w:r>
              <w:rPr>
                <w:rFonts w:hint="eastAsia"/>
                <w:lang w:val="en-US" w:eastAsia="zh-CN"/>
              </w:rPr>
              <w:t>系统中名称</w:t>
            </w:r>
          </w:p>
        </w:tc>
        <w:tc>
          <w:tcPr>
            <w:tcW w:w="521" w:type="pct"/>
            <w:shd w:val="clear" w:color="auto" w:fill="auto"/>
            <w:vAlign w:val="center"/>
          </w:tcPr>
          <w:p w14:paraId="41F1FF6D">
            <w:pPr>
              <w:pStyle w:val="45"/>
              <w:bidi w:val="0"/>
              <w:rPr>
                <w:rFonts w:hint="eastAsia"/>
              </w:rPr>
            </w:pPr>
            <w:r>
              <w:rPr>
                <w:rFonts w:hint="eastAsia"/>
                <w:lang w:val="en-US" w:eastAsia="zh-CN"/>
              </w:rPr>
              <w:t>类别</w:t>
            </w:r>
          </w:p>
        </w:tc>
        <w:tc>
          <w:tcPr>
            <w:tcW w:w="506" w:type="pct"/>
            <w:shd w:val="clear" w:color="auto" w:fill="auto"/>
            <w:vAlign w:val="center"/>
          </w:tcPr>
          <w:p w14:paraId="0C36E8F5">
            <w:pPr>
              <w:pStyle w:val="45"/>
              <w:bidi w:val="0"/>
              <w:rPr>
                <w:rFonts w:hint="eastAsia"/>
              </w:rPr>
            </w:pPr>
            <w:r>
              <w:rPr>
                <w:rFonts w:hint="eastAsia"/>
                <w:lang w:val="en-US" w:eastAsia="zh-CN"/>
              </w:rPr>
              <w:t>代码</w:t>
            </w:r>
          </w:p>
        </w:tc>
        <w:tc>
          <w:tcPr>
            <w:tcW w:w="646" w:type="pct"/>
            <w:shd w:val="clear" w:color="auto" w:fill="auto"/>
            <w:vAlign w:val="center"/>
          </w:tcPr>
          <w:p w14:paraId="2CF8CED3">
            <w:pPr>
              <w:pStyle w:val="45"/>
              <w:bidi w:val="0"/>
              <w:rPr>
                <w:rFonts w:hint="eastAsia"/>
              </w:rPr>
            </w:pPr>
            <w:r>
              <w:rPr>
                <w:rFonts w:hint="eastAsia"/>
                <w:lang w:val="en-US" w:eastAsia="zh-CN"/>
              </w:rPr>
              <w:t>产生环节</w:t>
            </w:r>
          </w:p>
        </w:tc>
        <w:tc>
          <w:tcPr>
            <w:tcW w:w="370" w:type="pct"/>
            <w:shd w:val="clear" w:color="auto" w:fill="auto"/>
            <w:noWrap/>
            <w:vAlign w:val="center"/>
          </w:tcPr>
          <w:p w14:paraId="6766B311">
            <w:pPr>
              <w:pStyle w:val="45"/>
              <w:bidi w:val="0"/>
              <w:rPr>
                <w:rFonts w:hint="eastAsia"/>
              </w:rPr>
            </w:pPr>
            <w:r>
              <w:rPr>
                <w:rFonts w:hint="eastAsia"/>
                <w:lang w:val="en-US" w:eastAsia="zh-CN"/>
              </w:rPr>
              <w:t>性状</w:t>
            </w:r>
          </w:p>
        </w:tc>
        <w:tc>
          <w:tcPr>
            <w:tcW w:w="377" w:type="pct"/>
            <w:shd w:val="clear" w:color="auto" w:fill="auto"/>
            <w:noWrap/>
            <w:vAlign w:val="center"/>
          </w:tcPr>
          <w:p w14:paraId="0D24E134">
            <w:pPr>
              <w:pStyle w:val="45"/>
              <w:bidi w:val="0"/>
              <w:rPr>
                <w:rFonts w:hint="eastAsia"/>
                <w:lang w:val="en-US" w:eastAsia="zh-CN"/>
              </w:rPr>
            </w:pPr>
            <w:r>
              <w:rPr>
                <w:rFonts w:hint="eastAsia"/>
                <w:lang w:val="en-US" w:eastAsia="zh-CN"/>
              </w:rPr>
              <w:t>年实际预估产生量（吨）</w:t>
            </w:r>
          </w:p>
        </w:tc>
        <w:tc>
          <w:tcPr>
            <w:tcW w:w="587" w:type="pct"/>
            <w:shd w:val="clear" w:color="auto" w:fill="auto"/>
            <w:noWrap/>
            <w:vAlign w:val="center"/>
          </w:tcPr>
          <w:p w14:paraId="58998C7F">
            <w:pPr>
              <w:pStyle w:val="45"/>
              <w:bidi w:val="0"/>
              <w:rPr>
                <w:rFonts w:hint="eastAsia"/>
              </w:rPr>
            </w:pPr>
            <w:r>
              <w:rPr>
                <w:rFonts w:hint="eastAsia"/>
                <w:lang w:val="en-US" w:eastAsia="zh-CN"/>
              </w:rPr>
              <w:t>主要成分</w:t>
            </w:r>
          </w:p>
        </w:tc>
        <w:tc>
          <w:tcPr>
            <w:tcW w:w="495" w:type="pct"/>
            <w:shd w:val="clear" w:color="auto" w:fill="auto"/>
            <w:noWrap/>
            <w:vAlign w:val="center"/>
          </w:tcPr>
          <w:p w14:paraId="7C51D7DB">
            <w:pPr>
              <w:pStyle w:val="45"/>
              <w:bidi w:val="0"/>
              <w:rPr>
                <w:rFonts w:hint="eastAsia"/>
              </w:rPr>
            </w:pPr>
            <w:r>
              <w:rPr>
                <w:rFonts w:hint="eastAsia"/>
                <w:lang w:val="en-US" w:eastAsia="zh-CN"/>
              </w:rPr>
              <w:t>有害成分</w:t>
            </w:r>
          </w:p>
        </w:tc>
        <w:tc>
          <w:tcPr>
            <w:tcW w:w="738" w:type="pct"/>
            <w:shd w:val="clear" w:color="auto" w:fill="auto"/>
            <w:vAlign w:val="center"/>
          </w:tcPr>
          <w:p w14:paraId="43CD88FF">
            <w:pPr>
              <w:pStyle w:val="45"/>
              <w:bidi w:val="0"/>
              <w:rPr>
                <w:rFonts w:hint="eastAsia"/>
              </w:rPr>
            </w:pPr>
            <w:r>
              <w:rPr>
                <w:rFonts w:hint="eastAsia"/>
                <w:lang w:val="en-US" w:eastAsia="zh-CN"/>
              </w:rPr>
              <w:t>处置方式</w:t>
            </w:r>
          </w:p>
        </w:tc>
      </w:tr>
      <w:tr w14:paraId="0D32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53" w:type="pct"/>
            <w:shd w:val="clear" w:color="auto" w:fill="auto"/>
            <w:vAlign w:val="center"/>
          </w:tcPr>
          <w:p w14:paraId="439CF789">
            <w:pPr>
              <w:pStyle w:val="45"/>
              <w:bidi w:val="0"/>
              <w:rPr>
                <w:rFonts w:hint="eastAsia"/>
              </w:rPr>
            </w:pPr>
            <w:r>
              <w:rPr>
                <w:rFonts w:hint="eastAsia"/>
                <w:lang w:val="en-US" w:eastAsia="zh-CN"/>
              </w:rPr>
              <w:t>1</w:t>
            </w:r>
          </w:p>
        </w:tc>
        <w:tc>
          <w:tcPr>
            <w:tcW w:w="502" w:type="pct"/>
            <w:shd w:val="clear" w:color="auto" w:fill="auto"/>
            <w:vAlign w:val="center"/>
          </w:tcPr>
          <w:p w14:paraId="7EB81ABF">
            <w:pPr>
              <w:pStyle w:val="45"/>
              <w:bidi w:val="0"/>
              <w:rPr>
                <w:rFonts w:hint="eastAsia"/>
              </w:rPr>
            </w:pPr>
            <w:r>
              <w:rPr>
                <w:rFonts w:hint="eastAsia"/>
                <w:lang w:val="en-US" w:eastAsia="zh-CN"/>
              </w:rPr>
              <w:t>废甲醇溶液</w:t>
            </w:r>
          </w:p>
        </w:tc>
        <w:tc>
          <w:tcPr>
            <w:tcW w:w="521" w:type="pct"/>
            <w:shd w:val="clear" w:color="auto" w:fill="auto"/>
            <w:vAlign w:val="center"/>
          </w:tcPr>
          <w:p w14:paraId="4219B34C">
            <w:pPr>
              <w:pStyle w:val="45"/>
              <w:bidi w:val="0"/>
              <w:rPr>
                <w:rFonts w:hint="eastAsia"/>
              </w:rPr>
            </w:pPr>
            <w:r>
              <w:rPr>
                <w:rFonts w:hint="eastAsia"/>
                <w:lang w:val="en-US" w:eastAsia="zh-CN"/>
              </w:rPr>
              <w:t>HW06废有机溶剂与含有机溶剂废物</w:t>
            </w:r>
          </w:p>
        </w:tc>
        <w:tc>
          <w:tcPr>
            <w:tcW w:w="506" w:type="pct"/>
            <w:shd w:val="clear" w:color="auto" w:fill="auto"/>
            <w:vAlign w:val="center"/>
          </w:tcPr>
          <w:p w14:paraId="65EC93C0">
            <w:pPr>
              <w:pStyle w:val="45"/>
              <w:bidi w:val="0"/>
              <w:rPr>
                <w:rFonts w:hint="eastAsia"/>
              </w:rPr>
            </w:pPr>
            <w:r>
              <w:rPr>
                <w:rFonts w:hint="eastAsia"/>
                <w:lang w:val="en-US" w:eastAsia="zh-CN"/>
              </w:rPr>
              <w:t>900-404-06</w:t>
            </w:r>
          </w:p>
        </w:tc>
        <w:tc>
          <w:tcPr>
            <w:tcW w:w="646" w:type="pct"/>
            <w:shd w:val="clear" w:color="auto" w:fill="auto"/>
            <w:vAlign w:val="center"/>
          </w:tcPr>
          <w:p w14:paraId="06F3DA24">
            <w:pPr>
              <w:pStyle w:val="45"/>
              <w:bidi w:val="0"/>
              <w:rPr>
                <w:rFonts w:hint="eastAsia"/>
              </w:rPr>
            </w:pPr>
            <w:r>
              <w:rPr>
                <w:rFonts w:hint="eastAsia"/>
                <w:lang w:val="en-US" w:eastAsia="zh-CN"/>
              </w:rPr>
              <w:t>CTFE生产线（三废综合利用装置）</w:t>
            </w:r>
          </w:p>
        </w:tc>
        <w:tc>
          <w:tcPr>
            <w:tcW w:w="370" w:type="pct"/>
            <w:shd w:val="clear" w:color="auto" w:fill="auto"/>
            <w:vAlign w:val="center"/>
          </w:tcPr>
          <w:p w14:paraId="7FEC145B">
            <w:pPr>
              <w:pStyle w:val="45"/>
              <w:bidi w:val="0"/>
              <w:rPr>
                <w:rFonts w:hint="eastAsia"/>
              </w:rPr>
            </w:pPr>
            <w:r>
              <w:rPr>
                <w:rFonts w:hint="eastAsia"/>
                <w:lang w:val="en-US" w:eastAsia="zh-CN"/>
              </w:rPr>
              <w:t>液体</w:t>
            </w:r>
          </w:p>
        </w:tc>
        <w:tc>
          <w:tcPr>
            <w:tcW w:w="377" w:type="pct"/>
            <w:shd w:val="clear" w:color="auto" w:fill="auto"/>
            <w:vAlign w:val="center"/>
          </w:tcPr>
          <w:p w14:paraId="21305AD1">
            <w:pPr>
              <w:pStyle w:val="45"/>
              <w:bidi w:val="0"/>
              <w:rPr>
                <w:rFonts w:hint="default"/>
                <w:lang w:val="en-US" w:eastAsia="zh-CN"/>
              </w:rPr>
            </w:pPr>
            <w:r>
              <w:rPr>
                <w:rFonts w:hint="eastAsia"/>
                <w:lang w:val="en-US" w:eastAsia="zh-CN"/>
              </w:rPr>
              <w:t>2000</w:t>
            </w:r>
          </w:p>
        </w:tc>
        <w:tc>
          <w:tcPr>
            <w:tcW w:w="587" w:type="pct"/>
            <w:shd w:val="clear" w:color="auto" w:fill="auto"/>
            <w:vAlign w:val="center"/>
          </w:tcPr>
          <w:p w14:paraId="6A3807C3">
            <w:pPr>
              <w:pStyle w:val="45"/>
              <w:bidi w:val="0"/>
              <w:rPr>
                <w:rFonts w:hint="eastAsia"/>
              </w:rPr>
            </w:pPr>
            <w:r>
              <w:rPr>
                <w:rFonts w:hint="eastAsia"/>
                <w:lang w:val="en-US" w:eastAsia="zh-CN"/>
              </w:rPr>
              <w:t>甲醇、水、杂质</w:t>
            </w:r>
          </w:p>
        </w:tc>
        <w:tc>
          <w:tcPr>
            <w:tcW w:w="495" w:type="pct"/>
            <w:shd w:val="clear" w:color="auto" w:fill="auto"/>
            <w:vAlign w:val="center"/>
          </w:tcPr>
          <w:p w14:paraId="11580CF8">
            <w:pPr>
              <w:pStyle w:val="45"/>
              <w:bidi w:val="0"/>
              <w:rPr>
                <w:rFonts w:hint="eastAsia"/>
              </w:rPr>
            </w:pPr>
            <w:r>
              <w:rPr>
                <w:rFonts w:hint="eastAsia"/>
                <w:lang w:val="en-US" w:eastAsia="zh-CN"/>
              </w:rPr>
              <w:t>甲醇</w:t>
            </w:r>
          </w:p>
        </w:tc>
        <w:tc>
          <w:tcPr>
            <w:tcW w:w="738" w:type="pct"/>
            <w:vMerge w:val="restart"/>
            <w:shd w:val="clear" w:color="auto" w:fill="auto"/>
            <w:vAlign w:val="center"/>
          </w:tcPr>
          <w:p w14:paraId="4B2FFB68">
            <w:pPr>
              <w:pStyle w:val="45"/>
              <w:bidi w:val="0"/>
              <w:rPr>
                <w:rFonts w:hint="eastAsia"/>
                <w:lang w:val="en-US" w:eastAsia="zh-CN"/>
              </w:rPr>
            </w:pPr>
            <w:r>
              <w:rPr>
                <w:rFonts w:hint="eastAsia"/>
                <w:lang w:val="en-US" w:eastAsia="zh-CN"/>
              </w:rPr>
              <w:t>公司焚烧装置焚烧。</w:t>
            </w:r>
          </w:p>
          <w:p w14:paraId="70100BDA">
            <w:pPr>
              <w:pStyle w:val="45"/>
              <w:bidi w:val="0"/>
              <w:rPr>
                <w:rFonts w:hint="eastAsia"/>
                <w:lang w:val="en-US" w:eastAsia="zh-CN"/>
              </w:rPr>
            </w:pPr>
            <w:r>
              <w:rPr>
                <w:rFonts w:hint="eastAsia"/>
                <w:lang w:val="en-US" w:eastAsia="zh-CN"/>
              </w:rPr>
              <w:t>公司配有3台焚烧炉，2用1备，每台焚烧炉处理能力：500kg/h。</w:t>
            </w:r>
          </w:p>
          <w:p w14:paraId="25B46D4B">
            <w:pPr>
              <w:pStyle w:val="45"/>
              <w:bidi w:val="0"/>
              <w:rPr>
                <w:rFonts w:hint="eastAsia"/>
                <w:lang w:val="en-US" w:eastAsia="zh-CN"/>
              </w:rPr>
            </w:pPr>
            <w:r>
              <w:t>采用“急冷+降膜吸收+水洗+碱洗</w:t>
            </w:r>
            <w:r>
              <w:rPr>
                <w:rFonts w:hint="eastAsia"/>
                <w:lang w:val="en-US" w:eastAsia="zh-CN"/>
              </w:rPr>
              <w:t>+脱硝+活性炭吸附</w:t>
            </w:r>
            <w:r>
              <w:t>”</w:t>
            </w:r>
          </w:p>
        </w:tc>
      </w:tr>
      <w:tr w14:paraId="19BC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53" w:type="pct"/>
            <w:shd w:val="clear" w:color="auto" w:fill="auto"/>
            <w:vAlign w:val="center"/>
          </w:tcPr>
          <w:p w14:paraId="1766C74D">
            <w:pPr>
              <w:pStyle w:val="45"/>
              <w:bidi w:val="0"/>
              <w:rPr>
                <w:rFonts w:hint="eastAsia"/>
              </w:rPr>
            </w:pPr>
            <w:r>
              <w:rPr>
                <w:rFonts w:hint="eastAsia"/>
                <w:lang w:val="en-US" w:eastAsia="zh-CN"/>
              </w:rPr>
              <w:t>2</w:t>
            </w:r>
          </w:p>
        </w:tc>
        <w:tc>
          <w:tcPr>
            <w:tcW w:w="502" w:type="pct"/>
            <w:shd w:val="clear" w:color="auto" w:fill="auto"/>
            <w:vAlign w:val="center"/>
          </w:tcPr>
          <w:p w14:paraId="4C6E8616">
            <w:pPr>
              <w:pStyle w:val="45"/>
              <w:bidi w:val="0"/>
              <w:rPr>
                <w:rFonts w:hint="eastAsia"/>
              </w:rPr>
            </w:pPr>
            <w:r>
              <w:rPr>
                <w:rFonts w:hint="eastAsia"/>
                <w:lang w:val="en-US" w:eastAsia="zh-CN"/>
              </w:rPr>
              <w:t>F114a冷凝液</w:t>
            </w:r>
          </w:p>
        </w:tc>
        <w:tc>
          <w:tcPr>
            <w:tcW w:w="521" w:type="pct"/>
            <w:shd w:val="clear" w:color="auto" w:fill="auto"/>
            <w:vAlign w:val="center"/>
          </w:tcPr>
          <w:p w14:paraId="3ABC1FB2">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3060DB14">
            <w:pPr>
              <w:pStyle w:val="45"/>
              <w:bidi w:val="0"/>
              <w:rPr>
                <w:rFonts w:hint="eastAsia"/>
              </w:rPr>
            </w:pPr>
            <w:r>
              <w:rPr>
                <w:rFonts w:hint="eastAsia"/>
                <w:lang w:val="en-US" w:eastAsia="zh-CN"/>
              </w:rPr>
              <w:t>261-084-45</w:t>
            </w:r>
          </w:p>
        </w:tc>
        <w:tc>
          <w:tcPr>
            <w:tcW w:w="646" w:type="pct"/>
            <w:shd w:val="clear" w:color="auto" w:fill="auto"/>
            <w:vAlign w:val="center"/>
          </w:tcPr>
          <w:p w14:paraId="273BA2C6">
            <w:pPr>
              <w:pStyle w:val="45"/>
              <w:bidi w:val="0"/>
              <w:rPr>
                <w:rFonts w:hint="eastAsia"/>
              </w:rPr>
            </w:pPr>
            <w:r>
              <w:rPr>
                <w:rFonts w:hint="eastAsia"/>
                <w:lang w:val="en-US" w:eastAsia="zh-CN"/>
              </w:rPr>
              <w:t>二期F113a生产线（脱气）</w:t>
            </w:r>
          </w:p>
        </w:tc>
        <w:tc>
          <w:tcPr>
            <w:tcW w:w="370" w:type="pct"/>
            <w:shd w:val="clear" w:color="auto" w:fill="auto"/>
            <w:vAlign w:val="center"/>
          </w:tcPr>
          <w:p w14:paraId="25324062">
            <w:pPr>
              <w:pStyle w:val="45"/>
              <w:bidi w:val="0"/>
              <w:rPr>
                <w:rFonts w:hint="eastAsia"/>
              </w:rPr>
            </w:pPr>
            <w:r>
              <w:rPr>
                <w:rFonts w:hint="eastAsia"/>
                <w:lang w:val="en-US" w:eastAsia="zh-CN"/>
              </w:rPr>
              <w:t>液体</w:t>
            </w:r>
          </w:p>
        </w:tc>
        <w:tc>
          <w:tcPr>
            <w:tcW w:w="377" w:type="pct"/>
            <w:shd w:val="clear" w:color="auto" w:fill="auto"/>
            <w:vAlign w:val="center"/>
          </w:tcPr>
          <w:p w14:paraId="14E1AAC5">
            <w:pPr>
              <w:pStyle w:val="45"/>
              <w:bidi w:val="0"/>
              <w:rPr>
                <w:rFonts w:hint="default"/>
                <w:lang w:val="en-US" w:eastAsia="zh-CN"/>
              </w:rPr>
            </w:pPr>
            <w:r>
              <w:rPr>
                <w:rFonts w:hint="eastAsia"/>
                <w:lang w:val="en-US" w:eastAsia="zh-CN"/>
              </w:rPr>
              <w:t>500</w:t>
            </w:r>
          </w:p>
        </w:tc>
        <w:tc>
          <w:tcPr>
            <w:tcW w:w="587" w:type="pct"/>
            <w:shd w:val="clear" w:color="auto" w:fill="auto"/>
            <w:vAlign w:val="center"/>
          </w:tcPr>
          <w:p w14:paraId="17EBD7CF">
            <w:pPr>
              <w:pStyle w:val="45"/>
              <w:bidi w:val="0"/>
              <w:rPr>
                <w:rFonts w:hint="eastAsia"/>
              </w:rPr>
            </w:pPr>
            <w:r>
              <w:rPr>
                <w:rFonts w:hint="eastAsia"/>
                <w:lang w:val="en-US" w:eastAsia="zh-CN"/>
              </w:rPr>
              <w:t>F114a、F113a</w:t>
            </w:r>
          </w:p>
        </w:tc>
        <w:tc>
          <w:tcPr>
            <w:tcW w:w="495" w:type="pct"/>
            <w:shd w:val="clear" w:color="auto" w:fill="auto"/>
            <w:vAlign w:val="center"/>
          </w:tcPr>
          <w:p w14:paraId="4458AA5F">
            <w:pPr>
              <w:pStyle w:val="45"/>
              <w:bidi w:val="0"/>
              <w:rPr>
                <w:rFonts w:hint="eastAsia"/>
              </w:rPr>
            </w:pPr>
            <w:r>
              <w:rPr>
                <w:rFonts w:hint="eastAsia"/>
                <w:lang w:val="en-US" w:eastAsia="zh-CN"/>
              </w:rPr>
              <w:t>F114a、F113a</w:t>
            </w:r>
          </w:p>
        </w:tc>
        <w:tc>
          <w:tcPr>
            <w:tcW w:w="738" w:type="pct"/>
            <w:vMerge w:val="continue"/>
            <w:shd w:val="clear" w:color="auto" w:fill="auto"/>
            <w:vAlign w:val="center"/>
          </w:tcPr>
          <w:p w14:paraId="56694DB7">
            <w:pPr>
              <w:pStyle w:val="45"/>
              <w:bidi w:val="0"/>
              <w:rPr>
                <w:rFonts w:hint="eastAsia"/>
              </w:rPr>
            </w:pPr>
          </w:p>
        </w:tc>
      </w:tr>
      <w:tr w14:paraId="1F18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253" w:type="pct"/>
            <w:shd w:val="clear" w:color="auto" w:fill="auto"/>
            <w:vAlign w:val="center"/>
          </w:tcPr>
          <w:p w14:paraId="55B624AE">
            <w:pPr>
              <w:pStyle w:val="45"/>
              <w:bidi w:val="0"/>
              <w:rPr>
                <w:rFonts w:hint="eastAsia"/>
              </w:rPr>
            </w:pPr>
            <w:r>
              <w:rPr>
                <w:rFonts w:hint="eastAsia"/>
                <w:lang w:val="en-US" w:eastAsia="zh-CN"/>
              </w:rPr>
              <w:t>3</w:t>
            </w:r>
          </w:p>
        </w:tc>
        <w:tc>
          <w:tcPr>
            <w:tcW w:w="502" w:type="pct"/>
            <w:shd w:val="clear" w:color="auto" w:fill="auto"/>
            <w:vAlign w:val="center"/>
          </w:tcPr>
          <w:p w14:paraId="6FF17BB1">
            <w:pPr>
              <w:pStyle w:val="45"/>
              <w:bidi w:val="0"/>
              <w:rPr>
                <w:rFonts w:hint="eastAsia"/>
              </w:rPr>
            </w:pPr>
            <w:r>
              <w:rPr>
                <w:rFonts w:hint="eastAsia"/>
                <w:lang w:val="en-US" w:eastAsia="zh-CN"/>
              </w:rPr>
              <w:t>四氟六氟废液</w:t>
            </w:r>
          </w:p>
        </w:tc>
        <w:tc>
          <w:tcPr>
            <w:tcW w:w="521" w:type="pct"/>
            <w:shd w:val="clear" w:color="auto" w:fill="auto"/>
            <w:vAlign w:val="center"/>
          </w:tcPr>
          <w:p w14:paraId="4506D30B">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67422105">
            <w:pPr>
              <w:pStyle w:val="45"/>
              <w:bidi w:val="0"/>
              <w:rPr>
                <w:rFonts w:hint="eastAsia"/>
              </w:rPr>
            </w:pPr>
            <w:r>
              <w:rPr>
                <w:rFonts w:hint="eastAsia"/>
                <w:lang w:val="en-US" w:eastAsia="zh-CN"/>
              </w:rPr>
              <w:t>261-084-45</w:t>
            </w:r>
          </w:p>
        </w:tc>
        <w:tc>
          <w:tcPr>
            <w:tcW w:w="646" w:type="pct"/>
            <w:shd w:val="clear" w:color="auto" w:fill="auto"/>
            <w:vAlign w:val="center"/>
          </w:tcPr>
          <w:p w14:paraId="633D31E2">
            <w:pPr>
              <w:pStyle w:val="45"/>
              <w:bidi w:val="0"/>
              <w:rPr>
                <w:rFonts w:hint="eastAsia"/>
              </w:rPr>
            </w:pPr>
            <w:r>
              <w:rPr>
                <w:rFonts w:hint="eastAsia"/>
                <w:lang w:val="en-US" w:eastAsia="zh-CN"/>
              </w:rPr>
              <w:t>HFP生产线（脱水/精馏）</w:t>
            </w:r>
          </w:p>
        </w:tc>
        <w:tc>
          <w:tcPr>
            <w:tcW w:w="370" w:type="pct"/>
            <w:shd w:val="clear" w:color="auto" w:fill="auto"/>
            <w:vAlign w:val="center"/>
          </w:tcPr>
          <w:p w14:paraId="3DC8ED12">
            <w:pPr>
              <w:pStyle w:val="45"/>
              <w:bidi w:val="0"/>
              <w:rPr>
                <w:rFonts w:hint="eastAsia"/>
              </w:rPr>
            </w:pPr>
            <w:r>
              <w:rPr>
                <w:rFonts w:hint="eastAsia"/>
                <w:lang w:val="en-US" w:eastAsia="zh-CN"/>
              </w:rPr>
              <w:t>液体</w:t>
            </w:r>
          </w:p>
        </w:tc>
        <w:tc>
          <w:tcPr>
            <w:tcW w:w="377" w:type="pct"/>
            <w:shd w:val="clear" w:color="auto" w:fill="auto"/>
            <w:vAlign w:val="center"/>
          </w:tcPr>
          <w:p w14:paraId="3CEA2180">
            <w:pPr>
              <w:pStyle w:val="45"/>
              <w:bidi w:val="0"/>
              <w:rPr>
                <w:rFonts w:hint="default"/>
                <w:lang w:val="en-US" w:eastAsia="zh-CN"/>
              </w:rPr>
            </w:pPr>
            <w:r>
              <w:rPr>
                <w:rFonts w:hint="eastAsia"/>
                <w:lang w:val="en-US" w:eastAsia="zh-CN"/>
              </w:rPr>
              <w:t>2200</w:t>
            </w:r>
          </w:p>
        </w:tc>
        <w:tc>
          <w:tcPr>
            <w:tcW w:w="587" w:type="pct"/>
            <w:shd w:val="clear" w:color="auto" w:fill="auto"/>
            <w:vAlign w:val="center"/>
          </w:tcPr>
          <w:p w14:paraId="00566E5F">
            <w:pPr>
              <w:pStyle w:val="45"/>
              <w:bidi w:val="0"/>
              <w:rPr>
                <w:rFonts w:hint="eastAsia"/>
              </w:rPr>
            </w:pPr>
            <w:r>
              <w:rPr>
                <w:rFonts w:hint="eastAsia"/>
                <w:lang w:val="en-US" w:eastAsia="zh-CN"/>
              </w:rPr>
              <w:t>高沸物、F22、阻聚剂、c-C4F8、氟醚类、六氟丙烯、C318等</w:t>
            </w:r>
          </w:p>
        </w:tc>
        <w:tc>
          <w:tcPr>
            <w:tcW w:w="495" w:type="pct"/>
            <w:shd w:val="clear" w:color="auto" w:fill="auto"/>
            <w:vAlign w:val="center"/>
          </w:tcPr>
          <w:p w14:paraId="2B2CB204">
            <w:pPr>
              <w:pStyle w:val="45"/>
              <w:bidi w:val="0"/>
              <w:rPr>
                <w:rFonts w:hint="eastAsia"/>
              </w:rPr>
            </w:pPr>
            <w:r>
              <w:rPr>
                <w:rFonts w:hint="eastAsia"/>
                <w:lang w:val="en-US" w:eastAsia="zh-CN"/>
              </w:rPr>
              <w:t>F22、c-C4F8等氟氯烃</w:t>
            </w:r>
          </w:p>
        </w:tc>
        <w:tc>
          <w:tcPr>
            <w:tcW w:w="738" w:type="pct"/>
            <w:vMerge w:val="continue"/>
            <w:shd w:val="clear" w:color="auto" w:fill="auto"/>
            <w:vAlign w:val="center"/>
          </w:tcPr>
          <w:p w14:paraId="27A1BA4A">
            <w:pPr>
              <w:pStyle w:val="45"/>
              <w:bidi w:val="0"/>
              <w:rPr>
                <w:rFonts w:hint="eastAsia"/>
              </w:rPr>
            </w:pPr>
          </w:p>
        </w:tc>
      </w:tr>
      <w:tr w14:paraId="7BED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53" w:type="pct"/>
            <w:shd w:val="clear" w:color="auto" w:fill="auto"/>
            <w:vAlign w:val="center"/>
          </w:tcPr>
          <w:p w14:paraId="37BBC8F0">
            <w:pPr>
              <w:pStyle w:val="45"/>
              <w:bidi w:val="0"/>
              <w:rPr>
                <w:rFonts w:hint="eastAsia"/>
              </w:rPr>
            </w:pPr>
            <w:r>
              <w:rPr>
                <w:rFonts w:hint="eastAsia"/>
                <w:lang w:val="en-US" w:eastAsia="zh-CN"/>
              </w:rPr>
              <w:t>4</w:t>
            </w:r>
          </w:p>
        </w:tc>
        <w:tc>
          <w:tcPr>
            <w:tcW w:w="502" w:type="pct"/>
            <w:shd w:val="clear" w:color="auto" w:fill="auto"/>
            <w:vAlign w:val="center"/>
          </w:tcPr>
          <w:p w14:paraId="00A8DA94">
            <w:pPr>
              <w:pStyle w:val="45"/>
              <w:bidi w:val="0"/>
              <w:rPr>
                <w:rFonts w:hint="eastAsia"/>
              </w:rPr>
            </w:pPr>
            <w:r>
              <w:rPr>
                <w:rFonts w:hint="eastAsia"/>
                <w:lang w:val="en-US" w:eastAsia="zh-CN"/>
              </w:rPr>
              <w:t>含锌废物</w:t>
            </w:r>
          </w:p>
        </w:tc>
        <w:tc>
          <w:tcPr>
            <w:tcW w:w="521" w:type="pct"/>
            <w:shd w:val="clear" w:color="auto" w:fill="auto"/>
            <w:vAlign w:val="center"/>
          </w:tcPr>
          <w:p w14:paraId="0891CA15">
            <w:pPr>
              <w:pStyle w:val="45"/>
              <w:bidi w:val="0"/>
              <w:rPr>
                <w:rFonts w:hint="eastAsia"/>
              </w:rPr>
            </w:pPr>
            <w:r>
              <w:rPr>
                <w:rFonts w:hint="eastAsia"/>
                <w:lang w:val="en-US" w:eastAsia="zh-CN"/>
              </w:rPr>
              <w:t>HW23含锌废物</w:t>
            </w:r>
          </w:p>
        </w:tc>
        <w:tc>
          <w:tcPr>
            <w:tcW w:w="506" w:type="pct"/>
            <w:shd w:val="clear" w:color="auto" w:fill="auto"/>
            <w:vAlign w:val="center"/>
          </w:tcPr>
          <w:p w14:paraId="024401A6">
            <w:pPr>
              <w:pStyle w:val="45"/>
              <w:bidi w:val="0"/>
              <w:rPr>
                <w:rFonts w:hint="eastAsia"/>
              </w:rPr>
            </w:pPr>
            <w:r>
              <w:rPr>
                <w:rFonts w:hint="eastAsia"/>
                <w:lang w:val="en-US" w:eastAsia="zh-CN"/>
              </w:rPr>
              <w:t>900-021-23</w:t>
            </w:r>
          </w:p>
        </w:tc>
        <w:tc>
          <w:tcPr>
            <w:tcW w:w="646" w:type="pct"/>
            <w:shd w:val="clear" w:color="auto" w:fill="auto"/>
            <w:vAlign w:val="center"/>
          </w:tcPr>
          <w:p w14:paraId="0273D86C">
            <w:pPr>
              <w:pStyle w:val="45"/>
              <w:bidi w:val="0"/>
              <w:rPr>
                <w:rFonts w:hint="eastAsia"/>
              </w:rPr>
            </w:pPr>
            <w:r>
              <w:rPr>
                <w:rFonts w:hint="eastAsia"/>
                <w:lang w:val="en-US" w:eastAsia="zh-CN"/>
              </w:rPr>
              <w:t>CTFE生产线（反应）</w:t>
            </w:r>
          </w:p>
        </w:tc>
        <w:tc>
          <w:tcPr>
            <w:tcW w:w="370" w:type="pct"/>
            <w:shd w:val="clear" w:color="auto" w:fill="auto"/>
            <w:vAlign w:val="center"/>
          </w:tcPr>
          <w:p w14:paraId="47B317AA">
            <w:pPr>
              <w:pStyle w:val="45"/>
              <w:bidi w:val="0"/>
              <w:rPr>
                <w:rFonts w:hint="eastAsia"/>
              </w:rPr>
            </w:pPr>
            <w:r>
              <w:rPr>
                <w:rFonts w:hint="eastAsia"/>
                <w:lang w:val="en-US" w:eastAsia="zh-CN"/>
              </w:rPr>
              <w:t>液体</w:t>
            </w:r>
          </w:p>
        </w:tc>
        <w:tc>
          <w:tcPr>
            <w:tcW w:w="377" w:type="pct"/>
            <w:shd w:val="clear" w:color="auto" w:fill="auto"/>
            <w:vAlign w:val="center"/>
          </w:tcPr>
          <w:p w14:paraId="1B9A4D71">
            <w:pPr>
              <w:pStyle w:val="45"/>
              <w:bidi w:val="0"/>
              <w:rPr>
                <w:rFonts w:hint="default"/>
                <w:lang w:val="en-US" w:eastAsia="zh-CN"/>
              </w:rPr>
            </w:pPr>
            <w:r>
              <w:rPr>
                <w:rFonts w:hint="eastAsia"/>
                <w:lang w:val="en-US" w:eastAsia="zh-CN"/>
              </w:rPr>
              <w:t>5300</w:t>
            </w:r>
          </w:p>
        </w:tc>
        <w:tc>
          <w:tcPr>
            <w:tcW w:w="587" w:type="pct"/>
            <w:shd w:val="clear" w:color="auto" w:fill="auto"/>
            <w:vAlign w:val="center"/>
          </w:tcPr>
          <w:p w14:paraId="5D0CCAC3">
            <w:pPr>
              <w:pStyle w:val="45"/>
              <w:bidi w:val="0"/>
              <w:rPr>
                <w:rFonts w:hint="eastAsia"/>
              </w:rPr>
            </w:pPr>
            <w:r>
              <w:rPr>
                <w:rFonts w:hint="eastAsia"/>
                <w:lang w:val="en-US" w:eastAsia="zh-CN"/>
              </w:rPr>
              <w:t>氯化锌、甲醇、锌粉</w:t>
            </w:r>
          </w:p>
        </w:tc>
        <w:tc>
          <w:tcPr>
            <w:tcW w:w="495" w:type="pct"/>
            <w:shd w:val="clear" w:color="auto" w:fill="auto"/>
            <w:vAlign w:val="center"/>
          </w:tcPr>
          <w:p w14:paraId="13EF4BA3">
            <w:pPr>
              <w:pStyle w:val="45"/>
              <w:bidi w:val="0"/>
              <w:rPr>
                <w:rFonts w:hint="eastAsia"/>
              </w:rPr>
            </w:pPr>
            <w:r>
              <w:rPr>
                <w:rFonts w:hint="eastAsia"/>
                <w:lang w:val="en-US" w:eastAsia="zh-CN"/>
              </w:rPr>
              <w:t>锌</w:t>
            </w:r>
          </w:p>
        </w:tc>
        <w:tc>
          <w:tcPr>
            <w:tcW w:w="738" w:type="pct"/>
            <w:shd w:val="clear" w:color="auto" w:fill="auto"/>
            <w:vAlign w:val="center"/>
          </w:tcPr>
          <w:p w14:paraId="4EECA979">
            <w:pPr>
              <w:pStyle w:val="45"/>
              <w:bidi w:val="0"/>
              <w:rPr>
                <w:rFonts w:hint="eastAsia"/>
              </w:rPr>
            </w:pPr>
            <w:r>
              <w:rPr>
                <w:rFonts w:hint="eastAsia"/>
                <w:lang w:val="en-US" w:eastAsia="zh-CN"/>
              </w:rPr>
              <w:t>三废综合利用装置。采用提纯蒸馏分离处理工艺，对现有CTFE生产线产生的含锌废物（氯化锌-甲醇废液）进行综合利用。处理能力：5500.36t/a</w:t>
            </w:r>
          </w:p>
        </w:tc>
      </w:tr>
      <w:tr w14:paraId="10C6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253" w:type="pct"/>
            <w:shd w:val="clear" w:color="auto" w:fill="auto"/>
            <w:vAlign w:val="center"/>
          </w:tcPr>
          <w:p w14:paraId="393B60FA">
            <w:pPr>
              <w:pStyle w:val="45"/>
              <w:bidi w:val="0"/>
              <w:rPr>
                <w:rFonts w:hint="eastAsia"/>
              </w:rPr>
            </w:pPr>
            <w:r>
              <w:rPr>
                <w:rFonts w:hint="eastAsia"/>
                <w:lang w:val="en-US" w:eastAsia="zh-CN"/>
              </w:rPr>
              <w:t>5</w:t>
            </w:r>
          </w:p>
        </w:tc>
        <w:tc>
          <w:tcPr>
            <w:tcW w:w="502" w:type="pct"/>
            <w:shd w:val="clear" w:color="auto" w:fill="auto"/>
            <w:vAlign w:val="center"/>
          </w:tcPr>
          <w:p w14:paraId="4F101288">
            <w:pPr>
              <w:pStyle w:val="45"/>
              <w:bidi w:val="0"/>
              <w:rPr>
                <w:rFonts w:hint="eastAsia"/>
              </w:rPr>
            </w:pPr>
            <w:r>
              <w:rPr>
                <w:rFonts w:hint="eastAsia"/>
                <w:lang w:val="en-US" w:eastAsia="zh-CN"/>
              </w:rPr>
              <w:t>含有机卤化物废物</w:t>
            </w:r>
          </w:p>
        </w:tc>
        <w:tc>
          <w:tcPr>
            <w:tcW w:w="521" w:type="pct"/>
            <w:shd w:val="clear" w:color="auto" w:fill="auto"/>
            <w:vAlign w:val="center"/>
          </w:tcPr>
          <w:p w14:paraId="7A51B3E4">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5A2F269B">
            <w:pPr>
              <w:pStyle w:val="45"/>
              <w:bidi w:val="0"/>
              <w:rPr>
                <w:rFonts w:hint="eastAsia"/>
              </w:rPr>
            </w:pPr>
            <w:r>
              <w:rPr>
                <w:rFonts w:hint="eastAsia"/>
                <w:lang w:val="en-US" w:eastAsia="zh-CN"/>
              </w:rPr>
              <w:t>261-084-45</w:t>
            </w:r>
          </w:p>
        </w:tc>
        <w:tc>
          <w:tcPr>
            <w:tcW w:w="646" w:type="pct"/>
            <w:shd w:val="clear" w:color="auto" w:fill="auto"/>
            <w:vAlign w:val="center"/>
          </w:tcPr>
          <w:p w14:paraId="7D21CAF5">
            <w:pPr>
              <w:pStyle w:val="45"/>
              <w:bidi w:val="0"/>
              <w:rPr>
                <w:rFonts w:hint="eastAsia"/>
              </w:rPr>
            </w:pPr>
            <w:r>
              <w:rPr>
                <w:rFonts w:hint="eastAsia"/>
                <w:lang w:val="en-US" w:eastAsia="zh-CN"/>
              </w:rPr>
              <w:t>F141b生产线(反应/精馏）</w:t>
            </w:r>
          </w:p>
        </w:tc>
        <w:tc>
          <w:tcPr>
            <w:tcW w:w="370" w:type="pct"/>
            <w:shd w:val="clear" w:color="auto" w:fill="auto"/>
            <w:vAlign w:val="center"/>
          </w:tcPr>
          <w:p w14:paraId="57E1352D">
            <w:pPr>
              <w:pStyle w:val="45"/>
              <w:bidi w:val="0"/>
              <w:rPr>
                <w:rFonts w:hint="eastAsia"/>
              </w:rPr>
            </w:pPr>
            <w:r>
              <w:rPr>
                <w:rFonts w:hint="eastAsia"/>
                <w:lang w:val="en-US" w:eastAsia="zh-CN"/>
              </w:rPr>
              <w:t>液体</w:t>
            </w:r>
          </w:p>
        </w:tc>
        <w:tc>
          <w:tcPr>
            <w:tcW w:w="377" w:type="pct"/>
            <w:shd w:val="clear" w:color="auto" w:fill="auto"/>
            <w:vAlign w:val="center"/>
          </w:tcPr>
          <w:p w14:paraId="58A4A234">
            <w:pPr>
              <w:pStyle w:val="45"/>
              <w:bidi w:val="0"/>
              <w:rPr>
                <w:rFonts w:hint="default"/>
                <w:lang w:val="en-US" w:eastAsia="zh-CN"/>
              </w:rPr>
            </w:pPr>
            <w:r>
              <w:rPr>
                <w:rFonts w:hint="eastAsia"/>
                <w:lang w:val="en-US" w:eastAsia="zh-CN"/>
              </w:rPr>
              <w:t>100</w:t>
            </w:r>
          </w:p>
        </w:tc>
        <w:tc>
          <w:tcPr>
            <w:tcW w:w="587" w:type="pct"/>
            <w:shd w:val="clear" w:color="auto" w:fill="auto"/>
            <w:vAlign w:val="center"/>
          </w:tcPr>
          <w:p w14:paraId="232D0F89">
            <w:pPr>
              <w:pStyle w:val="45"/>
              <w:bidi w:val="0"/>
              <w:rPr>
                <w:rFonts w:hint="eastAsia"/>
              </w:rPr>
            </w:pPr>
            <w:r>
              <w:rPr>
                <w:rFonts w:hint="eastAsia"/>
                <w:lang w:val="en-US" w:eastAsia="zh-CN"/>
              </w:rPr>
              <w:t>三氯乙烷及</w:t>
            </w:r>
            <w:r>
              <w:rPr>
                <w:rFonts w:hint="eastAsia"/>
                <w:lang w:val="en-US" w:eastAsia="zh-CN"/>
              </w:rPr>
              <w:br w:type="textWrapping"/>
            </w:r>
            <w:r>
              <w:rPr>
                <w:rFonts w:hint="eastAsia"/>
                <w:lang w:val="en-US" w:eastAsia="zh-CN"/>
              </w:rPr>
              <w:t>高沸物质</w:t>
            </w:r>
          </w:p>
        </w:tc>
        <w:tc>
          <w:tcPr>
            <w:tcW w:w="495" w:type="pct"/>
            <w:shd w:val="clear" w:color="auto" w:fill="auto"/>
            <w:vAlign w:val="center"/>
          </w:tcPr>
          <w:p w14:paraId="4167F265">
            <w:pPr>
              <w:pStyle w:val="45"/>
              <w:bidi w:val="0"/>
              <w:rPr>
                <w:rFonts w:hint="eastAsia"/>
              </w:rPr>
            </w:pPr>
            <w:r>
              <w:rPr>
                <w:rFonts w:hint="eastAsia"/>
                <w:lang w:val="en-US" w:eastAsia="zh-CN"/>
              </w:rPr>
              <w:t>三氯乙烷等氟氯烃</w:t>
            </w:r>
          </w:p>
        </w:tc>
        <w:tc>
          <w:tcPr>
            <w:tcW w:w="738" w:type="pct"/>
            <w:shd w:val="clear" w:color="auto" w:fill="auto"/>
            <w:vAlign w:val="center"/>
          </w:tcPr>
          <w:p w14:paraId="68F3CEE6">
            <w:pPr>
              <w:pStyle w:val="45"/>
              <w:bidi w:val="0"/>
              <w:rPr>
                <w:rFonts w:hint="eastAsia"/>
              </w:rPr>
            </w:pPr>
            <w:r>
              <w:rPr>
                <w:rFonts w:hint="eastAsia"/>
                <w:lang w:val="en-US" w:eastAsia="zh-CN"/>
              </w:rPr>
              <w:t>委托苏州新区环保服务中心有限公司处置</w:t>
            </w:r>
          </w:p>
        </w:tc>
      </w:tr>
      <w:tr w14:paraId="405A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253" w:type="pct"/>
            <w:shd w:val="clear" w:color="auto" w:fill="auto"/>
            <w:vAlign w:val="center"/>
          </w:tcPr>
          <w:p w14:paraId="118D32B9">
            <w:pPr>
              <w:pStyle w:val="45"/>
              <w:bidi w:val="0"/>
              <w:rPr>
                <w:rFonts w:hint="eastAsia"/>
              </w:rPr>
            </w:pPr>
            <w:r>
              <w:rPr>
                <w:rFonts w:hint="eastAsia"/>
                <w:lang w:val="en-US" w:eastAsia="zh-CN"/>
              </w:rPr>
              <w:t>6</w:t>
            </w:r>
          </w:p>
        </w:tc>
        <w:tc>
          <w:tcPr>
            <w:tcW w:w="502" w:type="pct"/>
            <w:shd w:val="clear" w:color="auto" w:fill="auto"/>
            <w:vAlign w:val="center"/>
          </w:tcPr>
          <w:p w14:paraId="47C47CFB">
            <w:pPr>
              <w:pStyle w:val="45"/>
              <w:bidi w:val="0"/>
              <w:rPr>
                <w:rFonts w:hint="eastAsia"/>
              </w:rPr>
            </w:pPr>
            <w:r>
              <w:rPr>
                <w:rFonts w:hint="eastAsia"/>
                <w:lang w:val="en-US" w:eastAsia="zh-CN"/>
              </w:rPr>
              <w:t>滤渣</w:t>
            </w:r>
          </w:p>
        </w:tc>
        <w:tc>
          <w:tcPr>
            <w:tcW w:w="521" w:type="pct"/>
            <w:shd w:val="clear" w:color="auto" w:fill="auto"/>
            <w:vAlign w:val="center"/>
          </w:tcPr>
          <w:p w14:paraId="43AB59F8">
            <w:pPr>
              <w:pStyle w:val="45"/>
              <w:bidi w:val="0"/>
              <w:rPr>
                <w:rFonts w:hint="eastAsia"/>
              </w:rPr>
            </w:pPr>
            <w:r>
              <w:rPr>
                <w:rFonts w:hint="eastAsia"/>
                <w:lang w:val="en-US" w:eastAsia="zh-CN"/>
              </w:rPr>
              <w:t>HW23含锌废物</w:t>
            </w:r>
          </w:p>
        </w:tc>
        <w:tc>
          <w:tcPr>
            <w:tcW w:w="506" w:type="pct"/>
            <w:shd w:val="clear" w:color="auto" w:fill="auto"/>
            <w:vAlign w:val="center"/>
          </w:tcPr>
          <w:p w14:paraId="3467EF66">
            <w:pPr>
              <w:pStyle w:val="45"/>
              <w:bidi w:val="0"/>
              <w:rPr>
                <w:rFonts w:hint="eastAsia"/>
              </w:rPr>
            </w:pPr>
            <w:r>
              <w:rPr>
                <w:rFonts w:hint="eastAsia"/>
                <w:lang w:val="en-US" w:eastAsia="zh-CN"/>
              </w:rPr>
              <w:t>900-021-23</w:t>
            </w:r>
          </w:p>
        </w:tc>
        <w:tc>
          <w:tcPr>
            <w:tcW w:w="646" w:type="pct"/>
            <w:shd w:val="clear" w:color="auto" w:fill="auto"/>
            <w:vAlign w:val="center"/>
          </w:tcPr>
          <w:p w14:paraId="4ED8A5E0">
            <w:pPr>
              <w:pStyle w:val="45"/>
              <w:bidi w:val="0"/>
              <w:rPr>
                <w:rFonts w:hint="eastAsia"/>
              </w:rPr>
            </w:pPr>
            <w:r>
              <w:rPr>
                <w:rFonts w:hint="eastAsia"/>
                <w:lang w:val="en-US" w:eastAsia="zh-CN"/>
              </w:rPr>
              <w:t>CTFE生产线（蒸馏过滤）</w:t>
            </w:r>
          </w:p>
        </w:tc>
        <w:tc>
          <w:tcPr>
            <w:tcW w:w="370" w:type="pct"/>
            <w:shd w:val="clear" w:color="auto" w:fill="auto"/>
            <w:vAlign w:val="center"/>
          </w:tcPr>
          <w:p w14:paraId="617679C8">
            <w:pPr>
              <w:pStyle w:val="45"/>
              <w:bidi w:val="0"/>
              <w:rPr>
                <w:rFonts w:hint="eastAsia"/>
              </w:rPr>
            </w:pPr>
            <w:r>
              <w:rPr>
                <w:rFonts w:hint="eastAsia"/>
                <w:lang w:val="en-US" w:eastAsia="zh-CN"/>
              </w:rPr>
              <w:t>固体</w:t>
            </w:r>
          </w:p>
        </w:tc>
        <w:tc>
          <w:tcPr>
            <w:tcW w:w="377" w:type="pct"/>
            <w:shd w:val="clear" w:color="auto" w:fill="auto"/>
            <w:vAlign w:val="center"/>
          </w:tcPr>
          <w:p w14:paraId="63153D89">
            <w:pPr>
              <w:pStyle w:val="45"/>
              <w:bidi w:val="0"/>
              <w:rPr>
                <w:rFonts w:hint="default"/>
                <w:lang w:val="en-US" w:eastAsia="zh-CN"/>
              </w:rPr>
            </w:pPr>
            <w:r>
              <w:rPr>
                <w:rFonts w:hint="eastAsia"/>
                <w:lang w:val="en-US" w:eastAsia="zh-CN"/>
              </w:rPr>
              <w:t>50</w:t>
            </w:r>
          </w:p>
        </w:tc>
        <w:tc>
          <w:tcPr>
            <w:tcW w:w="587" w:type="pct"/>
            <w:shd w:val="clear" w:color="auto" w:fill="auto"/>
            <w:vAlign w:val="center"/>
          </w:tcPr>
          <w:p w14:paraId="5880905B">
            <w:pPr>
              <w:pStyle w:val="45"/>
              <w:bidi w:val="0"/>
              <w:rPr>
                <w:rFonts w:hint="eastAsia"/>
              </w:rPr>
            </w:pPr>
            <w:r>
              <w:rPr>
                <w:rFonts w:hint="eastAsia"/>
                <w:lang w:val="en-US" w:eastAsia="zh-CN"/>
              </w:rPr>
              <w:t>氯化锌、甲醇、锌粉</w:t>
            </w:r>
          </w:p>
        </w:tc>
        <w:tc>
          <w:tcPr>
            <w:tcW w:w="495" w:type="pct"/>
            <w:shd w:val="clear" w:color="auto" w:fill="auto"/>
            <w:vAlign w:val="center"/>
          </w:tcPr>
          <w:p w14:paraId="5318A51A">
            <w:pPr>
              <w:pStyle w:val="45"/>
              <w:bidi w:val="0"/>
              <w:rPr>
                <w:rFonts w:hint="eastAsia"/>
              </w:rPr>
            </w:pPr>
            <w:r>
              <w:rPr>
                <w:rFonts w:hint="eastAsia"/>
                <w:lang w:val="en-US" w:eastAsia="zh-CN"/>
              </w:rPr>
              <w:t>锌</w:t>
            </w:r>
          </w:p>
        </w:tc>
        <w:tc>
          <w:tcPr>
            <w:tcW w:w="738" w:type="pct"/>
            <w:shd w:val="clear" w:color="auto" w:fill="auto"/>
            <w:vAlign w:val="center"/>
          </w:tcPr>
          <w:p w14:paraId="04385B53">
            <w:pPr>
              <w:pStyle w:val="45"/>
              <w:bidi w:val="0"/>
              <w:rPr>
                <w:rFonts w:hint="eastAsia"/>
              </w:rPr>
            </w:pPr>
            <w:r>
              <w:rPr>
                <w:rFonts w:hint="eastAsia"/>
                <w:lang w:val="en-US" w:eastAsia="zh-CN"/>
              </w:rPr>
              <w:t>委托</w:t>
            </w:r>
            <w:r>
              <w:rPr>
                <w:rFonts w:hint="eastAsia"/>
              </w:rPr>
              <w:t>光大环保（苏州）固废处置有限公司</w:t>
            </w:r>
            <w:r>
              <w:rPr>
                <w:rFonts w:hint="eastAsia"/>
                <w:lang w:val="en-US" w:eastAsia="zh-CN"/>
              </w:rPr>
              <w:t>处置</w:t>
            </w:r>
          </w:p>
        </w:tc>
      </w:tr>
      <w:tr w14:paraId="2BA6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53" w:type="pct"/>
            <w:shd w:val="clear" w:color="auto" w:fill="auto"/>
            <w:vAlign w:val="center"/>
          </w:tcPr>
          <w:p w14:paraId="7FB928F8">
            <w:pPr>
              <w:pStyle w:val="45"/>
              <w:bidi w:val="0"/>
              <w:rPr>
                <w:rFonts w:hint="eastAsia"/>
              </w:rPr>
            </w:pPr>
            <w:r>
              <w:rPr>
                <w:rFonts w:hint="eastAsia"/>
                <w:lang w:val="en-US" w:eastAsia="zh-CN"/>
              </w:rPr>
              <w:t>7</w:t>
            </w:r>
          </w:p>
        </w:tc>
        <w:tc>
          <w:tcPr>
            <w:tcW w:w="502" w:type="pct"/>
            <w:shd w:val="clear" w:color="auto" w:fill="auto"/>
            <w:vAlign w:val="center"/>
          </w:tcPr>
          <w:p w14:paraId="0EBD98D1">
            <w:pPr>
              <w:pStyle w:val="45"/>
              <w:bidi w:val="0"/>
              <w:rPr>
                <w:rFonts w:hint="eastAsia"/>
              </w:rPr>
            </w:pPr>
            <w:r>
              <w:rPr>
                <w:rFonts w:hint="eastAsia"/>
                <w:lang w:val="en-US" w:eastAsia="zh-CN"/>
              </w:rPr>
              <w:t>含有机卤化物废物（废催化剂）</w:t>
            </w:r>
          </w:p>
        </w:tc>
        <w:tc>
          <w:tcPr>
            <w:tcW w:w="521" w:type="pct"/>
            <w:shd w:val="clear" w:color="auto" w:fill="auto"/>
            <w:vAlign w:val="center"/>
          </w:tcPr>
          <w:p w14:paraId="773AA68F">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37F1EB04">
            <w:pPr>
              <w:pStyle w:val="45"/>
              <w:bidi w:val="0"/>
              <w:rPr>
                <w:rFonts w:hint="eastAsia"/>
              </w:rPr>
            </w:pPr>
            <w:r>
              <w:rPr>
                <w:rFonts w:hint="eastAsia"/>
                <w:lang w:val="en-US" w:eastAsia="zh-CN"/>
              </w:rPr>
              <w:t>261-084-45</w:t>
            </w:r>
          </w:p>
        </w:tc>
        <w:tc>
          <w:tcPr>
            <w:tcW w:w="646" w:type="pct"/>
            <w:shd w:val="clear" w:color="auto" w:fill="auto"/>
            <w:vAlign w:val="center"/>
          </w:tcPr>
          <w:p w14:paraId="36DD9A5C">
            <w:pPr>
              <w:pStyle w:val="45"/>
              <w:bidi w:val="0"/>
              <w:rPr>
                <w:rFonts w:hint="eastAsia"/>
              </w:rPr>
            </w:pPr>
            <w:r>
              <w:rPr>
                <w:rFonts w:hint="eastAsia"/>
                <w:lang w:val="en-US" w:eastAsia="zh-CN"/>
              </w:rPr>
              <w:t>F113a生产线（反应）</w:t>
            </w:r>
          </w:p>
        </w:tc>
        <w:tc>
          <w:tcPr>
            <w:tcW w:w="370" w:type="pct"/>
            <w:shd w:val="clear" w:color="auto" w:fill="auto"/>
            <w:vAlign w:val="center"/>
          </w:tcPr>
          <w:p w14:paraId="0B97C53B">
            <w:pPr>
              <w:pStyle w:val="45"/>
              <w:bidi w:val="0"/>
              <w:rPr>
                <w:rFonts w:hint="eastAsia"/>
              </w:rPr>
            </w:pPr>
            <w:r>
              <w:rPr>
                <w:rFonts w:hint="eastAsia"/>
                <w:lang w:val="en-US" w:eastAsia="zh-CN"/>
              </w:rPr>
              <w:t>固体</w:t>
            </w:r>
          </w:p>
        </w:tc>
        <w:tc>
          <w:tcPr>
            <w:tcW w:w="377" w:type="pct"/>
            <w:shd w:val="clear" w:color="auto" w:fill="auto"/>
            <w:vAlign w:val="center"/>
          </w:tcPr>
          <w:p w14:paraId="2C3F2B58">
            <w:pPr>
              <w:pStyle w:val="45"/>
              <w:bidi w:val="0"/>
              <w:rPr>
                <w:rFonts w:hint="default"/>
                <w:lang w:val="en-US" w:eastAsia="zh-CN"/>
              </w:rPr>
            </w:pPr>
            <w:r>
              <w:rPr>
                <w:rFonts w:hint="eastAsia"/>
                <w:lang w:val="en-US" w:eastAsia="zh-CN"/>
              </w:rPr>
              <w:t>10</w:t>
            </w:r>
          </w:p>
        </w:tc>
        <w:tc>
          <w:tcPr>
            <w:tcW w:w="587" w:type="pct"/>
            <w:shd w:val="clear" w:color="auto" w:fill="auto"/>
            <w:vAlign w:val="center"/>
          </w:tcPr>
          <w:p w14:paraId="60C4A109">
            <w:pPr>
              <w:pStyle w:val="45"/>
              <w:bidi w:val="0"/>
              <w:rPr>
                <w:rFonts w:hint="eastAsia"/>
              </w:rPr>
            </w:pPr>
            <w:r>
              <w:rPr>
                <w:rFonts w:hint="eastAsia"/>
                <w:lang w:val="en-US" w:eastAsia="zh-CN"/>
              </w:rPr>
              <w:t>氯化铝</w:t>
            </w:r>
          </w:p>
        </w:tc>
        <w:tc>
          <w:tcPr>
            <w:tcW w:w="495" w:type="pct"/>
            <w:shd w:val="clear" w:color="auto" w:fill="auto"/>
            <w:vAlign w:val="center"/>
          </w:tcPr>
          <w:p w14:paraId="66B9A597">
            <w:pPr>
              <w:pStyle w:val="45"/>
              <w:bidi w:val="0"/>
              <w:rPr>
                <w:rFonts w:hint="eastAsia"/>
              </w:rPr>
            </w:pPr>
            <w:r>
              <w:rPr>
                <w:rFonts w:hint="eastAsia"/>
                <w:lang w:val="en-US" w:eastAsia="zh-CN"/>
              </w:rPr>
              <w:t>氟氯烃</w:t>
            </w:r>
          </w:p>
        </w:tc>
        <w:tc>
          <w:tcPr>
            <w:tcW w:w="738" w:type="pct"/>
            <w:shd w:val="clear" w:color="auto" w:fill="auto"/>
            <w:vAlign w:val="center"/>
          </w:tcPr>
          <w:p w14:paraId="2819AA4E">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5E13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53" w:type="pct"/>
            <w:shd w:val="clear" w:color="auto" w:fill="auto"/>
            <w:vAlign w:val="center"/>
          </w:tcPr>
          <w:p w14:paraId="21E36623">
            <w:pPr>
              <w:pStyle w:val="45"/>
              <w:bidi w:val="0"/>
              <w:rPr>
                <w:rFonts w:hint="eastAsia"/>
              </w:rPr>
            </w:pPr>
            <w:r>
              <w:rPr>
                <w:rFonts w:hint="eastAsia"/>
                <w:lang w:val="en-US" w:eastAsia="zh-CN"/>
              </w:rPr>
              <w:t>8</w:t>
            </w:r>
          </w:p>
        </w:tc>
        <w:tc>
          <w:tcPr>
            <w:tcW w:w="502" w:type="pct"/>
            <w:shd w:val="clear" w:color="auto" w:fill="auto"/>
            <w:vAlign w:val="center"/>
          </w:tcPr>
          <w:p w14:paraId="05D0B5FE">
            <w:pPr>
              <w:pStyle w:val="45"/>
              <w:bidi w:val="0"/>
              <w:rPr>
                <w:rFonts w:hint="eastAsia"/>
              </w:rPr>
            </w:pPr>
            <w:r>
              <w:rPr>
                <w:rFonts w:hint="eastAsia"/>
                <w:lang w:val="en-US" w:eastAsia="zh-CN"/>
              </w:rPr>
              <w:t>含锑废物</w:t>
            </w:r>
          </w:p>
        </w:tc>
        <w:tc>
          <w:tcPr>
            <w:tcW w:w="521" w:type="pct"/>
            <w:shd w:val="clear" w:color="auto" w:fill="auto"/>
            <w:vAlign w:val="center"/>
          </w:tcPr>
          <w:p w14:paraId="5BF23B12">
            <w:pPr>
              <w:pStyle w:val="45"/>
              <w:bidi w:val="0"/>
              <w:rPr>
                <w:rFonts w:hint="eastAsia"/>
              </w:rPr>
            </w:pPr>
            <w:r>
              <w:rPr>
                <w:rFonts w:hint="eastAsia"/>
                <w:lang w:val="en-US" w:eastAsia="zh-CN"/>
              </w:rPr>
              <w:t>HW27 含锑废物</w:t>
            </w:r>
          </w:p>
        </w:tc>
        <w:tc>
          <w:tcPr>
            <w:tcW w:w="506" w:type="pct"/>
            <w:shd w:val="clear" w:color="auto" w:fill="auto"/>
            <w:vAlign w:val="center"/>
          </w:tcPr>
          <w:p w14:paraId="14840D7C">
            <w:pPr>
              <w:pStyle w:val="45"/>
              <w:bidi w:val="0"/>
              <w:rPr>
                <w:rFonts w:hint="eastAsia"/>
              </w:rPr>
            </w:pPr>
            <w:r>
              <w:rPr>
                <w:rFonts w:hint="eastAsia"/>
                <w:lang w:val="en-US" w:eastAsia="zh-CN"/>
              </w:rPr>
              <w:t>261-046-27</w:t>
            </w:r>
          </w:p>
        </w:tc>
        <w:tc>
          <w:tcPr>
            <w:tcW w:w="646" w:type="pct"/>
            <w:shd w:val="clear" w:color="auto" w:fill="auto"/>
            <w:vAlign w:val="center"/>
          </w:tcPr>
          <w:p w14:paraId="2538D58C">
            <w:pPr>
              <w:pStyle w:val="45"/>
              <w:bidi w:val="0"/>
              <w:rPr>
                <w:rFonts w:hint="eastAsia"/>
              </w:rPr>
            </w:pPr>
            <w:r>
              <w:rPr>
                <w:rFonts w:hint="eastAsia"/>
                <w:lang w:val="en-US" w:eastAsia="zh-CN"/>
              </w:rPr>
              <w:t>F113生产线（反应）</w:t>
            </w:r>
          </w:p>
        </w:tc>
        <w:tc>
          <w:tcPr>
            <w:tcW w:w="370" w:type="pct"/>
            <w:shd w:val="clear" w:color="auto" w:fill="auto"/>
            <w:vAlign w:val="center"/>
          </w:tcPr>
          <w:p w14:paraId="2D815C2E">
            <w:pPr>
              <w:pStyle w:val="45"/>
              <w:bidi w:val="0"/>
              <w:rPr>
                <w:rFonts w:hint="eastAsia"/>
              </w:rPr>
            </w:pPr>
            <w:r>
              <w:rPr>
                <w:rFonts w:hint="eastAsia"/>
                <w:lang w:val="en-US" w:eastAsia="zh-CN"/>
              </w:rPr>
              <w:t>固体</w:t>
            </w:r>
          </w:p>
        </w:tc>
        <w:tc>
          <w:tcPr>
            <w:tcW w:w="377" w:type="pct"/>
            <w:shd w:val="clear" w:color="auto" w:fill="auto"/>
            <w:vAlign w:val="center"/>
          </w:tcPr>
          <w:p w14:paraId="7EF258FC">
            <w:pPr>
              <w:pStyle w:val="45"/>
              <w:bidi w:val="0"/>
              <w:rPr>
                <w:rFonts w:hint="default"/>
                <w:lang w:val="en-US" w:eastAsia="zh-CN"/>
              </w:rPr>
            </w:pPr>
            <w:r>
              <w:rPr>
                <w:rFonts w:hint="eastAsia"/>
                <w:lang w:val="en-US" w:eastAsia="zh-CN"/>
              </w:rPr>
              <w:t>20</w:t>
            </w:r>
          </w:p>
        </w:tc>
        <w:tc>
          <w:tcPr>
            <w:tcW w:w="587" w:type="pct"/>
            <w:shd w:val="clear" w:color="auto" w:fill="auto"/>
            <w:vAlign w:val="center"/>
          </w:tcPr>
          <w:p w14:paraId="28920BFE">
            <w:pPr>
              <w:pStyle w:val="45"/>
              <w:bidi w:val="0"/>
              <w:rPr>
                <w:rFonts w:hint="eastAsia"/>
              </w:rPr>
            </w:pPr>
            <w:r>
              <w:rPr>
                <w:rFonts w:hint="eastAsia"/>
                <w:lang w:val="en-US" w:eastAsia="zh-CN"/>
              </w:rPr>
              <w:t>氟氯化锑</w:t>
            </w:r>
          </w:p>
        </w:tc>
        <w:tc>
          <w:tcPr>
            <w:tcW w:w="495" w:type="pct"/>
            <w:shd w:val="clear" w:color="auto" w:fill="auto"/>
            <w:vAlign w:val="center"/>
          </w:tcPr>
          <w:p w14:paraId="1CB09CE3">
            <w:pPr>
              <w:pStyle w:val="45"/>
              <w:bidi w:val="0"/>
              <w:rPr>
                <w:rFonts w:hint="eastAsia"/>
              </w:rPr>
            </w:pPr>
            <w:r>
              <w:rPr>
                <w:rFonts w:hint="eastAsia"/>
                <w:lang w:val="en-US" w:eastAsia="zh-CN"/>
              </w:rPr>
              <w:t>锑</w:t>
            </w:r>
          </w:p>
        </w:tc>
        <w:tc>
          <w:tcPr>
            <w:tcW w:w="738" w:type="pct"/>
            <w:shd w:val="clear" w:color="auto" w:fill="auto"/>
            <w:vAlign w:val="center"/>
          </w:tcPr>
          <w:p w14:paraId="7A122D30">
            <w:pPr>
              <w:pStyle w:val="45"/>
              <w:bidi w:val="0"/>
              <w:rPr>
                <w:rFonts w:hint="eastAsia"/>
              </w:rPr>
            </w:pPr>
            <w:r>
              <w:rPr>
                <w:rFonts w:hint="eastAsia"/>
                <w:lang w:val="en-US" w:eastAsia="zh-CN"/>
              </w:rPr>
              <w:t>委托</w:t>
            </w:r>
            <w:r>
              <w:rPr>
                <w:rFonts w:hint="eastAsia"/>
              </w:rPr>
              <w:t>光大环保（苏州）固废处置有限公司</w:t>
            </w:r>
            <w:r>
              <w:rPr>
                <w:rFonts w:hint="eastAsia"/>
                <w:lang w:val="en-US" w:eastAsia="zh-CN"/>
              </w:rPr>
              <w:t>处置</w:t>
            </w:r>
          </w:p>
        </w:tc>
      </w:tr>
      <w:tr w14:paraId="0BCB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253" w:type="pct"/>
            <w:shd w:val="clear" w:color="auto" w:fill="auto"/>
            <w:vAlign w:val="center"/>
          </w:tcPr>
          <w:p w14:paraId="4909A241">
            <w:pPr>
              <w:pStyle w:val="45"/>
              <w:bidi w:val="0"/>
              <w:rPr>
                <w:rFonts w:hint="eastAsia"/>
              </w:rPr>
            </w:pPr>
            <w:r>
              <w:rPr>
                <w:rFonts w:hint="eastAsia"/>
                <w:lang w:val="en-US" w:eastAsia="zh-CN"/>
              </w:rPr>
              <w:t>9</w:t>
            </w:r>
          </w:p>
        </w:tc>
        <w:tc>
          <w:tcPr>
            <w:tcW w:w="502" w:type="pct"/>
            <w:shd w:val="clear" w:color="auto" w:fill="auto"/>
            <w:vAlign w:val="center"/>
          </w:tcPr>
          <w:p w14:paraId="08CC1047">
            <w:pPr>
              <w:pStyle w:val="45"/>
              <w:bidi w:val="0"/>
              <w:rPr>
                <w:rFonts w:hint="eastAsia"/>
              </w:rPr>
            </w:pPr>
            <w:r>
              <w:rPr>
                <w:rFonts w:hint="eastAsia"/>
                <w:lang w:val="en-US" w:eastAsia="zh-CN"/>
              </w:rPr>
              <w:t>废盐</w:t>
            </w:r>
          </w:p>
        </w:tc>
        <w:tc>
          <w:tcPr>
            <w:tcW w:w="521" w:type="pct"/>
            <w:shd w:val="clear" w:color="auto" w:fill="auto"/>
            <w:vAlign w:val="center"/>
          </w:tcPr>
          <w:p w14:paraId="7F2535EC">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710107BA">
            <w:pPr>
              <w:pStyle w:val="45"/>
              <w:bidi w:val="0"/>
              <w:rPr>
                <w:rFonts w:hint="eastAsia"/>
              </w:rPr>
            </w:pPr>
            <w:r>
              <w:rPr>
                <w:rFonts w:hint="eastAsia"/>
                <w:lang w:val="en-US" w:eastAsia="zh-CN"/>
              </w:rPr>
              <w:t>261-084-45</w:t>
            </w:r>
          </w:p>
        </w:tc>
        <w:tc>
          <w:tcPr>
            <w:tcW w:w="646" w:type="pct"/>
            <w:shd w:val="clear" w:color="auto" w:fill="auto"/>
            <w:vAlign w:val="center"/>
          </w:tcPr>
          <w:p w14:paraId="76E7C445">
            <w:pPr>
              <w:pStyle w:val="45"/>
              <w:bidi w:val="0"/>
              <w:rPr>
                <w:rFonts w:hint="eastAsia"/>
              </w:rPr>
            </w:pPr>
            <w:r>
              <w:rPr>
                <w:rFonts w:hint="eastAsia"/>
                <w:lang w:val="en-US" w:eastAsia="zh-CN"/>
              </w:rPr>
              <w:t>污水处理（MVR)</w:t>
            </w:r>
          </w:p>
        </w:tc>
        <w:tc>
          <w:tcPr>
            <w:tcW w:w="370" w:type="pct"/>
            <w:shd w:val="clear" w:color="auto" w:fill="auto"/>
            <w:vAlign w:val="center"/>
          </w:tcPr>
          <w:p w14:paraId="58457EAE">
            <w:pPr>
              <w:pStyle w:val="45"/>
              <w:bidi w:val="0"/>
              <w:rPr>
                <w:rFonts w:hint="eastAsia"/>
              </w:rPr>
            </w:pPr>
            <w:r>
              <w:rPr>
                <w:rFonts w:hint="eastAsia"/>
                <w:lang w:val="en-US" w:eastAsia="zh-CN"/>
              </w:rPr>
              <w:t>固体</w:t>
            </w:r>
          </w:p>
        </w:tc>
        <w:tc>
          <w:tcPr>
            <w:tcW w:w="377" w:type="pct"/>
            <w:shd w:val="clear" w:color="auto" w:fill="auto"/>
            <w:vAlign w:val="center"/>
          </w:tcPr>
          <w:p w14:paraId="52014090">
            <w:pPr>
              <w:pStyle w:val="45"/>
              <w:bidi w:val="0"/>
              <w:rPr>
                <w:rFonts w:hint="default"/>
                <w:lang w:val="en-US" w:eastAsia="zh-CN"/>
              </w:rPr>
            </w:pPr>
            <w:r>
              <w:rPr>
                <w:rFonts w:hint="eastAsia"/>
                <w:lang w:val="en-US" w:eastAsia="zh-CN"/>
              </w:rPr>
              <w:t>350</w:t>
            </w:r>
          </w:p>
        </w:tc>
        <w:tc>
          <w:tcPr>
            <w:tcW w:w="587" w:type="pct"/>
            <w:shd w:val="clear" w:color="auto" w:fill="auto"/>
            <w:vAlign w:val="center"/>
          </w:tcPr>
          <w:p w14:paraId="6430F8FE">
            <w:pPr>
              <w:pStyle w:val="45"/>
              <w:bidi w:val="0"/>
              <w:rPr>
                <w:rFonts w:hint="eastAsia"/>
              </w:rPr>
            </w:pPr>
            <w:r>
              <w:rPr>
                <w:rFonts w:hint="eastAsia"/>
                <w:lang w:val="en-US" w:eastAsia="zh-CN"/>
              </w:rPr>
              <w:t>氯化钠、氢氧化钠、氟化钠、有机氟化物等</w:t>
            </w:r>
          </w:p>
        </w:tc>
        <w:tc>
          <w:tcPr>
            <w:tcW w:w="495" w:type="pct"/>
            <w:shd w:val="clear" w:color="auto" w:fill="auto"/>
            <w:vAlign w:val="center"/>
          </w:tcPr>
          <w:p w14:paraId="33633C21">
            <w:pPr>
              <w:pStyle w:val="45"/>
              <w:bidi w:val="0"/>
              <w:rPr>
                <w:rFonts w:hint="eastAsia"/>
              </w:rPr>
            </w:pPr>
            <w:r>
              <w:rPr>
                <w:rFonts w:hint="eastAsia"/>
                <w:lang w:val="en-US" w:eastAsia="zh-CN"/>
              </w:rPr>
              <w:t>氟氯烃</w:t>
            </w:r>
          </w:p>
        </w:tc>
        <w:tc>
          <w:tcPr>
            <w:tcW w:w="738" w:type="pct"/>
            <w:shd w:val="clear" w:color="auto" w:fill="auto"/>
            <w:vAlign w:val="center"/>
          </w:tcPr>
          <w:p w14:paraId="2B71400D">
            <w:pPr>
              <w:pStyle w:val="45"/>
              <w:bidi w:val="0"/>
              <w:rPr>
                <w:rFonts w:hint="eastAsia"/>
              </w:rPr>
            </w:pPr>
            <w:r>
              <w:rPr>
                <w:rFonts w:hint="eastAsia"/>
                <w:lang w:val="en-US" w:eastAsia="zh-CN"/>
              </w:rPr>
              <w:t>委托</w:t>
            </w:r>
            <w:r>
              <w:rPr>
                <w:rFonts w:hint="eastAsia"/>
              </w:rPr>
              <w:t>江苏东江环境服务有限公司</w:t>
            </w:r>
            <w:r>
              <w:rPr>
                <w:rFonts w:hint="eastAsia"/>
                <w:lang w:val="en-US" w:eastAsia="zh-CN"/>
              </w:rPr>
              <w:t>处置</w:t>
            </w:r>
          </w:p>
        </w:tc>
      </w:tr>
      <w:tr w14:paraId="08F9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53" w:type="pct"/>
            <w:shd w:val="clear" w:color="auto" w:fill="auto"/>
            <w:vAlign w:val="center"/>
          </w:tcPr>
          <w:p w14:paraId="74B52898">
            <w:pPr>
              <w:pStyle w:val="45"/>
              <w:bidi w:val="0"/>
              <w:rPr>
                <w:rFonts w:hint="eastAsia"/>
              </w:rPr>
            </w:pPr>
            <w:r>
              <w:rPr>
                <w:rFonts w:hint="eastAsia"/>
                <w:lang w:val="en-US" w:eastAsia="zh-CN"/>
              </w:rPr>
              <w:t>10</w:t>
            </w:r>
          </w:p>
        </w:tc>
        <w:tc>
          <w:tcPr>
            <w:tcW w:w="502" w:type="pct"/>
            <w:shd w:val="clear" w:color="auto" w:fill="auto"/>
            <w:vAlign w:val="center"/>
          </w:tcPr>
          <w:p w14:paraId="6CF545C5">
            <w:pPr>
              <w:pStyle w:val="45"/>
              <w:bidi w:val="0"/>
              <w:rPr>
                <w:rFonts w:hint="eastAsia"/>
              </w:rPr>
            </w:pPr>
            <w:r>
              <w:rPr>
                <w:rFonts w:hint="eastAsia"/>
                <w:lang w:val="en-US" w:eastAsia="zh-CN"/>
              </w:rPr>
              <w:t>含有机卤化物废物(污泥）</w:t>
            </w:r>
          </w:p>
        </w:tc>
        <w:tc>
          <w:tcPr>
            <w:tcW w:w="521" w:type="pct"/>
            <w:shd w:val="clear" w:color="auto" w:fill="auto"/>
            <w:vAlign w:val="center"/>
          </w:tcPr>
          <w:p w14:paraId="298C3245">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349E88E4">
            <w:pPr>
              <w:pStyle w:val="45"/>
              <w:bidi w:val="0"/>
              <w:rPr>
                <w:rFonts w:hint="eastAsia"/>
              </w:rPr>
            </w:pPr>
            <w:r>
              <w:rPr>
                <w:rFonts w:hint="eastAsia"/>
                <w:lang w:val="en-US" w:eastAsia="zh-CN"/>
              </w:rPr>
              <w:t>261-084-45</w:t>
            </w:r>
          </w:p>
        </w:tc>
        <w:tc>
          <w:tcPr>
            <w:tcW w:w="646" w:type="pct"/>
            <w:shd w:val="clear" w:color="auto" w:fill="auto"/>
            <w:vAlign w:val="center"/>
          </w:tcPr>
          <w:p w14:paraId="7E5C759A">
            <w:pPr>
              <w:pStyle w:val="45"/>
              <w:bidi w:val="0"/>
              <w:rPr>
                <w:rFonts w:hint="eastAsia"/>
              </w:rPr>
            </w:pPr>
            <w:r>
              <w:rPr>
                <w:rFonts w:hint="eastAsia"/>
                <w:lang w:val="en-US" w:eastAsia="zh-CN"/>
              </w:rPr>
              <w:t>污水处理(污泥压滤）</w:t>
            </w:r>
          </w:p>
        </w:tc>
        <w:tc>
          <w:tcPr>
            <w:tcW w:w="370" w:type="pct"/>
            <w:shd w:val="clear" w:color="auto" w:fill="auto"/>
            <w:vAlign w:val="center"/>
          </w:tcPr>
          <w:p w14:paraId="33353DC1">
            <w:pPr>
              <w:pStyle w:val="45"/>
              <w:bidi w:val="0"/>
              <w:rPr>
                <w:rFonts w:hint="eastAsia"/>
              </w:rPr>
            </w:pPr>
            <w:r>
              <w:rPr>
                <w:rFonts w:hint="eastAsia"/>
                <w:lang w:val="en-US" w:eastAsia="zh-CN"/>
              </w:rPr>
              <w:t>固体</w:t>
            </w:r>
          </w:p>
        </w:tc>
        <w:tc>
          <w:tcPr>
            <w:tcW w:w="377" w:type="pct"/>
            <w:shd w:val="clear" w:color="auto" w:fill="auto"/>
            <w:vAlign w:val="center"/>
          </w:tcPr>
          <w:p w14:paraId="2BF6D4DD">
            <w:pPr>
              <w:pStyle w:val="45"/>
              <w:bidi w:val="0"/>
              <w:rPr>
                <w:rFonts w:hint="default"/>
                <w:lang w:val="en-US" w:eastAsia="zh-CN"/>
              </w:rPr>
            </w:pPr>
            <w:r>
              <w:rPr>
                <w:rFonts w:hint="eastAsia"/>
                <w:lang w:val="en-US" w:eastAsia="zh-CN"/>
              </w:rPr>
              <w:t>150</w:t>
            </w:r>
          </w:p>
        </w:tc>
        <w:tc>
          <w:tcPr>
            <w:tcW w:w="587" w:type="pct"/>
            <w:shd w:val="clear" w:color="auto" w:fill="auto"/>
            <w:vAlign w:val="center"/>
          </w:tcPr>
          <w:p w14:paraId="21946940">
            <w:pPr>
              <w:pStyle w:val="45"/>
              <w:bidi w:val="0"/>
              <w:rPr>
                <w:rFonts w:hint="eastAsia"/>
              </w:rPr>
            </w:pPr>
            <w:r>
              <w:rPr>
                <w:rFonts w:hint="eastAsia"/>
                <w:lang w:val="en-US" w:eastAsia="zh-CN"/>
              </w:rPr>
              <w:t>氟化钙污泥</w:t>
            </w:r>
          </w:p>
        </w:tc>
        <w:tc>
          <w:tcPr>
            <w:tcW w:w="495" w:type="pct"/>
            <w:shd w:val="clear" w:color="auto" w:fill="auto"/>
            <w:vAlign w:val="center"/>
          </w:tcPr>
          <w:p w14:paraId="6E94FAFB">
            <w:pPr>
              <w:pStyle w:val="45"/>
              <w:bidi w:val="0"/>
              <w:rPr>
                <w:rFonts w:hint="eastAsia"/>
              </w:rPr>
            </w:pPr>
            <w:r>
              <w:rPr>
                <w:rFonts w:hint="eastAsia"/>
                <w:lang w:val="en-US" w:eastAsia="zh-CN"/>
              </w:rPr>
              <w:t>氟氯烃</w:t>
            </w:r>
          </w:p>
        </w:tc>
        <w:tc>
          <w:tcPr>
            <w:tcW w:w="738" w:type="pct"/>
            <w:shd w:val="clear" w:color="auto" w:fill="auto"/>
            <w:vAlign w:val="center"/>
          </w:tcPr>
          <w:p w14:paraId="784E0492">
            <w:pPr>
              <w:pStyle w:val="45"/>
              <w:bidi w:val="0"/>
              <w:rPr>
                <w:rFonts w:hint="eastAsia"/>
              </w:rPr>
            </w:pPr>
            <w:r>
              <w:rPr>
                <w:rFonts w:hint="eastAsia"/>
                <w:lang w:val="en-US" w:eastAsia="zh-CN"/>
              </w:rPr>
              <w:t>委托苏州新区环保服务中心有限公司处置</w:t>
            </w:r>
          </w:p>
        </w:tc>
      </w:tr>
      <w:tr w14:paraId="6E6F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53" w:type="pct"/>
            <w:shd w:val="clear" w:color="auto" w:fill="auto"/>
            <w:vAlign w:val="center"/>
          </w:tcPr>
          <w:p w14:paraId="1F435D29">
            <w:pPr>
              <w:pStyle w:val="45"/>
              <w:bidi w:val="0"/>
              <w:rPr>
                <w:rFonts w:hint="eastAsia"/>
              </w:rPr>
            </w:pPr>
            <w:r>
              <w:rPr>
                <w:rFonts w:hint="eastAsia"/>
                <w:lang w:val="en-US" w:eastAsia="zh-CN"/>
              </w:rPr>
              <w:t>11</w:t>
            </w:r>
          </w:p>
        </w:tc>
        <w:tc>
          <w:tcPr>
            <w:tcW w:w="502" w:type="pct"/>
            <w:shd w:val="clear" w:color="auto" w:fill="auto"/>
            <w:vAlign w:val="center"/>
          </w:tcPr>
          <w:p w14:paraId="175E59BC">
            <w:pPr>
              <w:pStyle w:val="45"/>
              <w:bidi w:val="0"/>
              <w:rPr>
                <w:rFonts w:hint="eastAsia"/>
              </w:rPr>
            </w:pPr>
            <w:r>
              <w:rPr>
                <w:rFonts w:hint="eastAsia"/>
                <w:lang w:val="en-US" w:eastAsia="zh-CN"/>
              </w:rPr>
              <w:t>含有机卤化物废物(吸附剂硅胶）</w:t>
            </w:r>
          </w:p>
        </w:tc>
        <w:tc>
          <w:tcPr>
            <w:tcW w:w="521" w:type="pct"/>
            <w:shd w:val="clear" w:color="auto" w:fill="auto"/>
            <w:vAlign w:val="center"/>
          </w:tcPr>
          <w:p w14:paraId="7FEDC08D">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05A3857A">
            <w:pPr>
              <w:pStyle w:val="45"/>
              <w:bidi w:val="0"/>
              <w:rPr>
                <w:rFonts w:hint="eastAsia"/>
              </w:rPr>
            </w:pPr>
            <w:r>
              <w:rPr>
                <w:rFonts w:hint="eastAsia"/>
                <w:lang w:val="en-US" w:eastAsia="zh-CN"/>
              </w:rPr>
              <w:t>261-084-45</w:t>
            </w:r>
          </w:p>
        </w:tc>
        <w:tc>
          <w:tcPr>
            <w:tcW w:w="646" w:type="pct"/>
            <w:shd w:val="clear" w:color="auto" w:fill="auto"/>
            <w:vAlign w:val="center"/>
          </w:tcPr>
          <w:p w14:paraId="66E70AB9">
            <w:pPr>
              <w:pStyle w:val="45"/>
              <w:bidi w:val="0"/>
              <w:rPr>
                <w:rFonts w:hint="eastAsia"/>
              </w:rPr>
            </w:pPr>
            <w:r>
              <w:rPr>
                <w:rFonts w:hint="eastAsia"/>
                <w:lang w:val="en-US" w:eastAsia="zh-CN"/>
              </w:rPr>
              <w:t>CTFE、TFE、HFP吸附干燥</w:t>
            </w:r>
          </w:p>
        </w:tc>
        <w:tc>
          <w:tcPr>
            <w:tcW w:w="370" w:type="pct"/>
            <w:shd w:val="clear" w:color="auto" w:fill="auto"/>
            <w:vAlign w:val="center"/>
          </w:tcPr>
          <w:p w14:paraId="02E40BEC">
            <w:pPr>
              <w:pStyle w:val="45"/>
              <w:bidi w:val="0"/>
              <w:rPr>
                <w:rFonts w:hint="eastAsia"/>
              </w:rPr>
            </w:pPr>
            <w:r>
              <w:rPr>
                <w:rFonts w:hint="eastAsia"/>
                <w:lang w:val="en-US" w:eastAsia="zh-CN"/>
              </w:rPr>
              <w:t>固体</w:t>
            </w:r>
          </w:p>
        </w:tc>
        <w:tc>
          <w:tcPr>
            <w:tcW w:w="377" w:type="pct"/>
            <w:shd w:val="clear" w:color="auto" w:fill="auto"/>
            <w:vAlign w:val="center"/>
          </w:tcPr>
          <w:p w14:paraId="5CF9C4ED">
            <w:pPr>
              <w:pStyle w:val="45"/>
              <w:bidi w:val="0"/>
              <w:rPr>
                <w:rFonts w:hint="default"/>
                <w:lang w:val="en-US" w:eastAsia="zh-CN"/>
              </w:rPr>
            </w:pPr>
            <w:r>
              <w:rPr>
                <w:rFonts w:hint="eastAsia"/>
                <w:lang w:val="en-US" w:eastAsia="zh-CN"/>
              </w:rPr>
              <w:t>80</w:t>
            </w:r>
          </w:p>
        </w:tc>
        <w:tc>
          <w:tcPr>
            <w:tcW w:w="587" w:type="pct"/>
            <w:shd w:val="clear" w:color="auto" w:fill="auto"/>
            <w:vAlign w:val="center"/>
          </w:tcPr>
          <w:p w14:paraId="37130237">
            <w:pPr>
              <w:pStyle w:val="45"/>
              <w:bidi w:val="0"/>
              <w:rPr>
                <w:rFonts w:hint="eastAsia"/>
              </w:rPr>
            </w:pPr>
            <w:r>
              <w:rPr>
                <w:rFonts w:hint="eastAsia"/>
                <w:lang w:val="en-US" w:eastAsia="zh-CN"/>
              </w:rPr>
              <w:t>硅胶、PTFE 等</w:t>
            </w:r>
          </w:p>
        </w:tc>
        <w:tc>
          <w:tcPr>
            <w:tcW w:w="495" w:type="pct"/>
            <w:shd w:val="clear" w:color="auto" w:fill="auto"/>
            <w:vAlign w:val="center"/>
          </w:tcPr>
          <w:p w14:paraId="28E32D39">
            <w:pPr>
              <w:pStyle w:val="45"/>
              <w:bidi w:val="0"/>
              <w:rPr>
                <w:rFonts w:hint="eastAsia"/>
              </w:rPr>
            </w:pPr>
            <w:r>
              <w:rPr>
                <w:rFonts w:hint="eastAsia"/>
                <w:lang w:val="en-US" w:eastAsia="zh-CN"/>
              </w:rPr>
              <w:t>PTFE 等氟氯烃</w:t>
            </w:r>
          </w:p>
        </w:tc>
        <w:tc>
          <w:tcPr>
            <w:tcW w:w="738" w:type="pct"/>
            <w:shd w:val="clear" w:color="auto" w:fill="auto"/>
            <w:vAlign w:val="center"/>
          </w:tcPr>
          <w:p w14:paraId="13B07372">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0319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253" w:type="pct"/>
            <w:shd w:val="clear" w:color="auto" w:fill="auto"/>
            <w:vAlign w:val="center"/>
          </w:tcPr>
          <w:p w14:paraId="1B161449">
            <w:pPr>
              <w:pStyle w:val="45"/>
              <w:bidi w:val="0"/>
              <w:rPr>
                <w:rFonts w:hint="eastAsia"/>
              </w:rPr>
            </w:pPr>
            <w:r>
              <w:rPr>
                <w:rFonts w:hint="eastAsia"/>
                <w:lang w:val="en-US" w:eastAsia="zh-CN"/>
              </w:rPr>
              <w:t>12</w:t>
            </w:r>
          </w:p>
        </w:tc>
        <w:tc>
          <w:tcPr>
            <w:tcW w:w="502" w:type="pct"/>
            <w:shd w:val="clear" w:color="auto" w:fill="auto"/>
            <w:vAlign w:val="center"/>
          </w:tcPr>
          <w:p w14:paraId="4BC93694">
            <w:pPr>
              <w:pStyle w:val="45"/>
              <w:bidi w:val="0"/>
              <w:rPr>
                <w:rFonts w:hint="eastAsia"/>
              </w:rPr>
            </w:pPr>
            <w:r>
              <w:rPr>
                <w:rFonts w:hint="eastAsia"/>
                <w:lang w:val="en-US" w:eastAsia="zh-CN"/>
              </w:rPr>
              <w:t>含有机卤化物废物(吸附剂分子筛）</w:t>
            </w:r>
          </w:p>
        </w:tc>
        <w:tc>
          <w:tcPr>
            <w:tcW w:w="521" w:type="pct"/>
            <w:shd w:val="clear" w:color="auto" w:fill="auto"/>
            <w:vAlign w:val="center"/>
          </w:tcPr>
          <w:p w14:paraId="3E665730">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7BA89EBA">
            <w:pPr>
              <w:pStyle w:val="45"/>
              <w:bidi w:val="0"/>
              <w:rPr>
                <w:rFonts w:hint="eastAsia"/>
              </w:rPr>
            </w:pPr>
            <w:r>
              <w:rPr>
                <w:rFonts w:hint="eastAsia"/>
                <w:lang w:val="en-US" w:eastAsia="zh-CN"/>
              </w:rPr>
              <w:t>261-084-45</w:t>
            </w:r>
          </w:p>
        </w:tc>
        <w:tc>
          <w:tcPr>
            <w:tcW w:w="646" w:type="pct"/>
            <w:shd w:val="clear" w:color="auto" w:fill="auto"/>
            <w:vAlign w:val="center"/>
          </w:tcPr>
          <w:p w14:paraId="2D25086C">
            <w:pPr>
              <w:pStyle w:val="45"/>
              <w:bidi w:val="0"/>
              <w:rPr>
                <w:rFonts w:hint="eastAsia"/>
              </w:rPr>
            </w:pPr>
            <w:r>
              <w:rPr>
                <w:rFonts w:hint="eastAsia"/>
                <w:lang w:val="en-US" w:eastAsia="zh-CN"/>
              </w:rPr>
              <w:t>F141b、F113、F113a、四氯乙烯、F142b吸附干燥</w:t>
            </w:r>
          </w:p>
        </w:tc>
        <w:tc>
          <w:tcPr>
            <w:tcW w:w="370" w:type="pct"/>
            <w:shd w:val="clear" w:color="auto" w:fill="auto"/>
            <w:vAlign w:val="center"/>
          </w:tcPr>
          <w:p w14:paraId="70573B9A">
            <w:pPr>
              <w:pStyle w:val="45"/>
              <w:bidi w:val="0"/>
              <w:rPr>
                <w:rFonts w:hint="eastAsia"/>
              </w:rPr>
            </w:pPr>
            <w:r>
              <w:rPr>
                <w:rFonts w:hint="eastAsia"/>
                <w:lang w:val="en-US" w:eastAsia="zh-CN"/>
              </w:rPr>
              <w:t>固体</w:t>
            </w:r>
          </w:p>
        </w:tc>
        <w:tc>
          <w:tcPr>
            <w:tcW w:w="377" w:type="pct"/>
            <w:shd w:val="clear" w:color="auto" w:fill="auto"/>
            <w:vAlign w:val="center"/>
          </w:tcPr>
          <w:p w14:paraId="093ACCA0">
            <w:pPr>
              <w:pStyle w:val="45"/>
              <w:bidi w:val="0"/>
              <w:rPr>
                <w:rFonts w:hint="default"/>
                <w:lang w:val="en-US" w:eastAsia="zh-CN"/>
              </w:rPr>
            </w:pPr>
            <w:r>
              <w:rPr>
                <w:rFonts w:hint="eastAsia"/>
                <w:lang w:val="en-US" w:eastAsia="zh-CN"/>
              </w:rPr>
              <w:t>15</w:t>
            </w:r>
          </w:p>
        </w:tc>
        <w:tc>
          <w:tcPr>
            <w:tcW w:w="587" w:type="pct"/>
            <w:shd w:val="clear" w:color="auto" w:fill="auto"/>
            <w:vAlign w:val="center"/>
          </w:tcPr>
          <w:p w14:paraId="55EDD302">
            <w:pPr>
              <w:pStyle w:val="45"/>
              <w:bidi w:val="0"/>
              <w:rPr>
                <w:rFonts w:hint="eastAsia"/>
              </w:rPr>
            </w:pPr>
            <w:r>
              <w:rPr>
                <w:rFonts w:hint="eastAsia"/>
                <w:lang w:val="en-US" w:eastAsia="zh-CN"/>
              </w:rPr>
              <w:t>分子筛及吸附有机物</w:t>
            </w:r>
          </w:p>
        </w:tc>
        <w:tc>
          <w:tcPr>
            <w:tcW w:w="495" w:type="pct"/>
            <w:shd w:val="clear" w:color="auto" w:fill="auto"/>
            <w:vAlign w:val="center"/>
          </w:tcPr>
          <w:p w14:paraId="34CA8A77">
            <w:pPr>
              <w:pStyle w:val="45"/>
              <w:bidi w:val="0"/>
              <w:rPr>
                <w:rFonts w:hint="eastAsia"/>
              </w:rPr>
            </w:pPr>
            <w:r>
              <w:rPr>
                <w:rFonts w:hint="eastAsia"/>
                <w:lang w:val="en-US" w:eastAsia="zh-CN"/>
              </w:rPr>
              <w:t>氟氯烃</w:t>
            </w:r>
          </w:p>
        </w:tc>
        <w:tc>
          <w:tcPr>
            <w:tcW w:w="738" w:type="pct"/>
            <w:shd w:val="clear" w:color="auto" w:fill="auto"/>
            <w:vAlign w:val="center"/>
          </w:tcPr>
          <w:p w14:paraId="17A446A8">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3745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253" w:type="pct"/>
            <w:shd w:val="clear" w:color="auto" w:fill="auto"/>
            <w:vAlign w:val="center"/>
          </w:tcPr>
          <w:p w14:paraId="600D31C5">
            <w:pPr>
              <w:pStyle w:val="45"/>
              <w:bidi w:val="0"/>
              <w:rPr>
                <w:rFonts w:hint="eastAsia"/>
              </w:rPr>
            </w:pPr>
            <w:r>
              <w:rPr>
                <w:rFonts w:hint="eastAsia"/>
                <w:lang w:val="en-US" w:eastAsia="zh-CN"/>
              </w:rPr>
              <w:t>13</w:t>
            </w:r>
          </w:p>
        </w:tc>
        <w:tc>
          <w:tcPr>
            <w:tcW w:w="502" w:type="pct"/>
            <w:shd w:val="clear" w:color="auto" w:fill="auto"/>
            <w:vAlign w:val="center"/>
          </w:tcPr>
          <w:p w14:paraId="078C8EA5">
            <w:pPr>
              <w:pStyle w:val="45"/>
              <w:bidi w:val="0"/>
              <w:rPr>
                <w:rFonts w:hint="eastAsia"/>
              </w:rPr>
            </w:pPr>
            <w:r>
              <w:rPr>
                <w:rFonts w:hint="eastAsia"/>
                <w:lang w:val="en-US" w:eastAsia="zh-CN"/>
              </w:rPr>
              <w:t>废包装物</w:t>
            </w:r>
          </w:p>
        </w:tc>
        <w:tc>
          <w:tcPr>
            <w:tcW w:w="521" w:type="pct"/>
            <w:shd w:val="clear" w:color="auto" w:fill="auto"/>
            <w:vAlign w:val="center"/>
          </w:tcPr>
          <w:p w14:paraId="0BFEA111">
            <w:pPr>
              <w:pStyle w:val="45"/>
              <w:bidi w:val="0"/>
              <w:rPr>
                <w:rFonts w:hint="eastAsia"/>
              </w:rPr>
            </w:pPr>
            <w:r>
              <w:rPr>
                <w:rFonts w:hint="eastAsia"/>
                <w:lang w:val="en-US" w:eastAsia="zh-CN"/>
              </w:rPr>
              <w:t>HW49其他废物</w:t>
            </w:r>
          </w:p>
        </w:tc>
        <w:tc>
          <w:tcPr>
            <w:tcW w:w="506" w:type="pct"/>
            <w:shd w:val="clear" w:color="auto" w:fill="auto"/>
            <w:vAlign w:val="center"/>
          </w:tcPr>
          <w:p w14:paraId="0CE78246">
            <w:pPr>
              <w:pStyle w:val="45"/>
              <w:bidi w:val="0"/>
              <w:rPr>
                <w:rFonts w:hint="eastAsia"/>
              </w:rPr>
            </w:pPr>
            <w:r>
              <w:rPr>
                <w:rFonts w:hint="eastAsia"/>
                <w:lang w:val="en-US" w:eastAsia="zh-CN"/>
              </w:rPr>
              <w:t>900-041-49</w:t>
            </w:r>
          </w:p>
        </w:tc>
        <w:tc>
          <w:tcPr>
            <w:tcW w:w="646" w:type="pct"/>
            <w:shd w:val="clear" w:color="auto" w:fill="auto"/>
            <w:vAlign w:val="center"/>
          </w:tcPr>
          <w:p w14:paraId="1B63E2CE">
            <w:pPr>
              <w:pStyle w:val="45"/>
              <w:bidi w:val="0"/>
              <w:rPr>
                <w:rFonts w:hint="eastAsia"/>
              </w:rPr>
            </w:pPr>
            <w:r>
              <w:rPr>
                <w:rFonts w:hint="eastAsia"/>
                <w:lang w:val="en-US" w:eastAsia="zh-CN"/>
              </w:rPr>
              <w:t>各装置废弃包装物（锌粉内衬袋、油漆桶、试剂瓶；200-250L空铁桶塑料桶等）</w:t>
            </w:r>
          </w:p>
        </w:tc>
        <w:tc>
          <w:tcPr>
            <w:tcW w:w="370" w:type="pct"/>
            <w:shd w:val="clear" w:color="auto" w:fill="auto"/>
            <w:vAlign w:val="center"/>
          </w:tcPr>
          <w:p w14:paraId="28B4CCFF">
            <w:pPr>
              <w:pStyle w:val="45"/>
              <w:bidi w:val="0"/>
              <w:rPr>
                <w:rFonts w:hint="eastAsia"/>
              </w:rPr>
            </w:pPr>
            <w:r>
              <w:rPr>
                <w:rFonts w:hint="eastAsia"/>
                <w:lang w:val="en-US" w:eastAsia="zh-CN"/>
              </w:rPr>
              <w:t>固体</w:t>
            </w:r>
          </w:p>
        </w:tc>
        <w:tc>
          <w:tcPr>
            <w:tcW w:w="377" w:type="pct"/>
            <w:shd w:val="clear" w:color="auto" w:fill="auto"/>
            <w:vAlign w:val="center"/>
          </w:tcPr>
          <w:p w14:paraId="5EBEBF76">
            <w:pPr>
              <w:pStyle w:val="45"/>
              <w:bidi w:val="0"/>
              <w:rPr>
                <w:rFonts w:hint="default"/>
                <w:lang w:val="en-US" w:eastAsia="zh-CN"/>
              </w:rPr>
            </w:pPr>
            <w:r>
              <w:rPr>
                <w:rFonts w:hint="eastAsia"/>
                <w:lang w:val="en-US" w:eastAsia="zh-CN"/>
              </w:rPr>
              <w:t>6</w:t>
            </w:r>
          </w:p>
        </w:tc>
        <w:tc>
          <w:tcPr>
            <w:tcW w:w="587" w:type="pct"/>
            <w:shd w:val="clear" w:color="auto" w:fill="auto"/>
            <w:vAlign w:val="center"/>
          </w:tcPr>
          <w:p w14:paraId="0967EABC">
            <w:pPr>
              <w:pStyle w:val="45"/>
              <w:bidi w:val="0"/>
              <w:rPr>
                <w:rFonts w:hint="eastAsia"/>
              </w:rPr>
            </w:pPr>
            <w:r>
              <w:rPr>
                <w:rFonts w:hint="eastAsia"/>
                <w:lang w:val="en-US" w:eastAsia="zh-CN"/>
              </w:rPr>
              <w:t>/</w:t>
            </w:r>
          </w:p>
        </w:tc>
        <w:tc>
          <w:tcPr>
            <w:tcW w:w="495" w:type="pct"/>
            <w:shd w:val="clear" w:color="auto" w:fill="auto"/>
            <w:vAlign w:val="center"/>
          </w:tcPr>
          <w:p w14:paraId="3147DE3F">
            <w:pPr>
              <w:pStyle w:val="45"/>
              <w:bidi w:val="0"/>
              <w:rPr>
                <w:rFonts w:hint="eastAsia"/>
              </w:rPr>
            </w:pPr>
            <w:r>
              <w:rPr>
                <w:rFonts w:hint="eastAsia"/>
                <w:lang w:val="en-US" w:eastAsia="zh-CN"/>
              </w:rPr>
              <w:t>沾染的危化品原料</w:t>
            </w:r>
          </w:p>
        </w:tc>
        <w:tc>
          <w:tcPr>
            <w:tcW w:w="738" w:type="pct"/>
            <w:shd w:val="clear" w:color="auto" w:fill="auto"/>
            <w:vAlign w:val="center"/>
          </w:tcPr>
          <w:p w14:paraId="2FBAFADA">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0532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53" w:type="pct"/>
            <w:shd w:val="clear" w:color="auto" w:fill="auto"/>
            <w:vAlign w:val="center"/>
          </w:tcPr>
          <w:p w14:paraId="462AD313">
            <w:pPr>
              <w:pStyle w:val="45"/>
              <w:bidi w:val="0"/>
              <w:rPr>
                <w:rFonts w:hint="eastAsia"/>
              </w:rPr>
            </w:pPr>
            <w:r>
              <w:rPr>
                <w:rFonts w:hint="eastAsia"/>
                <w:lang w:val="en-US" w:eastAsia="zh-CN"/>
              </w:rPr>
              <w:t>14</w:t>
            </w:r>
          </w:p>
        </w:tc>
        <w:tc>
          <w:tcPr>
            <w:tcW w:w="502" w:type="pct"/>
            <w:shd w:val="clear" w:color="auto" w:fill="auto"/>
            <w:vAlign w:val="center"/>
          </w:tcPr>
          <w:p w14:paraId="477C530F">
            <w:pPr>
              <w:pStyle w:val="45"/>
              <w:bidi w:val="0"/>
              <w:rPr>
                <w:rFonts w:hint="eastAsia"/>
              </w:rPr>
            </w:pPr>
            <w:r>
              <w:rPr>
                <w:rFonts w:hint="eastAsia"/>
                <w:lang w:val="en-US" w:eastAsia="zh-CN"/>
              </w:rPr>
              <w:t>废油</w:t>
            </w:r>
          </w:p>
        </w:tc>
        <w:tc>
          <w:tcPr>
            <w:tcW w:w="521" w:type="pct"/>
            <w:shd w:val="clear" w:color="auto" w:fill="auto"/>
            <w:vAlign w:val="center"/>
          </w:tcPr>
          <w:p w14:paraId="052AA3EB">
            <w:pPr>
              <w:pStyle w:val="45"/>
              <w:bidi w:val="0"/>
              <w:rPr>
                <w:rFonts w:hint="eastAsia"/>
              </w:rPr>
            </w:pPr>
            <w:r>
              <w:rPr>
                <w:rFonts w:hint="eastAsia"/>
                <w:lang w:val="en-US" w:eastAsia="zh-CN"/>
              </w:rPr>
              <w:t>HW08废矿物油与含矿物油废物</w:t>
            </w:r>
          </w:p>
        </w:tc>
        <w:tc>
          <w:tcPr>
            <w:tcW w:w="506" w:type="pct"/>
            <w:shd w:val="clear" w:color="auto" w:fill="auto"/>
            <w:vAlign w:val="center"/>
          </w:tcPr>
          <w:p w14:paraId="2BAAACAF">
            <w:pPr>
              <w:pStyle w:val="45"/>
              <w:bidi w:val="0"/>
              <w:rPr>
                <w:rFonts w:hint="eastAsia"/>
              </w:rPr>
            </w:pPr>
            <w:r>
              <w:rPr>
                <w:rFonts w:hint="eastAsia"/>
                <w:lang w:val="en-US" w:eastAsia="zh-CN"/>
              </w:rPr>
              <w:t>900-217-08</w:t>
            </w:r>
          </w:p>
        </w:tc>
        <w:tc>
          <w:tcPr>
            <w:tcW w:w="646" w:type="pct"/>
            <w:shd w:val="clear" w:color="auto" w:fill="auto"/>
            <w:vAlign w:val="center"/>
          </w:tcPr>
          <w:p w14:paraId="600DBC12">
            <w:pPr>
              <w:pStyle w:val="45"/>
              <w:bidi w:val="0"/>
              <w:rPr>
                <w:rFonts w:hint="eastAsia"/>
              </w:rPr>
            </w:pPr>
            <w:r>
              <w:rPr>
                <w:rFonts w:hint="eastAsia"/>
                <w:lang w:val="en-US" w:eastAsia="zh-CN"/>
              </w:rPr>
              <w:t>检修(压缩机等机泵）</w:t>
            </w:r>
          </w:p>
        </w:tc>
        <w:tc>
          <w:tcPr>
            <w:tcW w:w="370" w:type="pct"/>
            <w:shd w:val="clear" w:color="auto" w:fill="auto"/>
            <w:vAlign w:val="center"/>
          </w:tcPr>
          <w:p w14:paraId="2FEA88A3">
            <w:pPr>
              <w:pStyle w:val="45"/>
              <w:bidi w:val="0"/>
              <w:rPr>
                <w:rFonts w:hint="eastAsia"/>
              </w:rPr>
            </w:pPr>
            <w:r>
              <w:rPr>
                <w:rFonts w:hint="eastAsia"/>
                <w:lang w:val="en-US" w:eastAsia="zh-CN"/>
              </w:rPr>
              <w:t>液体</w:t>
            </w:r>
          </w:p>
        </w:tc>
        <w:tc>
          <w:tcPr>
            <w:tcW w:w="377" w:type="pct"/>
            <w:shd w:val="clear" w:color="auto" w:fill="auto"/>
            <w:vAlign w:val="center"/>
          </w:tcPr>
          <w:p w14:paraId="59B36218">
            <w:pPr>
              <w:pStyle w:val="45"/>
              <w:bidi w:val="0"/>
              <w:rPr>
                <w:rFonts w:hint="default"/>
                <w:lang w:val="en-US" w:eastAsia="zh-CN"/>
              </w:rPr>
            </w:pPr>
            <w:r>
              <w:rPr>
                <w:rFonts w:hint="eastAsia"/>
                <w:lang w:val="en-US" w:eastAsia="zh-CN"/>
              </w:rPr>
              <w:t>2</w:t>
            </w:r>
          </w:p>
        </w:tc>
        <w:tc>
          <w:tcPr>
            <w:tcW w:w="587" w:type="pct"/>
            <w:shd w:val="clear" w:color="auto" w:fill="auto"/>
            <w:vAlign w:val="center"/>
          </w:tcPr>
          <w:p w14:paraId="03751293">
            <w:pPr>
              <w:pStyle w:val="45"/>
              <w:bidi w:val="0"/>
              <w:rPr>
                <w:rFonts w:hint="eastAsia"/>
              </w:rPr>
            </w:pPr>
            <w:r>
              <w:rPr>
                <w:rFonts w:hint="eastAsia"/>
                <w:lang w:val="en-US" w:eastAsia="zh-CN"/>
              </w:rPr>
              <w:t>矿物油</w:t>
            </w:r>
          </w:p>
        </w:tc>
        <w:tc>
          <w:tcPr>
            <w:tcW w:w="495" w:type="pct"/>
            <w:shd w:val="clear" w:color="auto" w:fill="auto"/>
            <w:vAlign w:val="center"/>
          </w:tcPr>
          <w:p w14:paraId="145F674C">
            <w:pPr>
              <w:pStyle w:val="45"/>
              <w:bidi w:val="0"/>
              <w:rPr>
                <w:rFonts w:hint="eastAsia"/>
              </w:rPr>
            </w:pPr>
            <w:r>
              <w:rPr>
                <w:rFonts w:hint="eastAsia"/>
                <w:lang w:val="en-US" w:eastAsia="zh-CN"/>
              </w:rPr>
              <w:t>矿物油</w:t>
            </w:r>
          </w:p>
        </w:tc>
        <w:tc>
          <w:tcPr>
            <w:tcW w:w="738" w:type="pct"/>
            <w:shd w:val="clear" w:color="auto" w:fill="auto"/>
            <w:vAlign w:val="center"/>
          </w:tcPr>
          <w:p w14:paraId="34C4BEAE">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0297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53" w:type="pct"/>
            <w:shd w:val="clear" w:color="auto" w:fill="auto"/>
            <w:vAlign w:val="center"/>
          </w:tcPr>
          <w:p w14:paraId="39036E5F">
            <w:pPr>
              <w:pStyle w:val="45"/>
              <w:bidi w:val="0"/>
              <w:rPr>
                <w:rFonts w:hint="eastAsia"/>
              </w:rPr>
            </w:pPr>
            <w:r>
              <w:rPr>
                <w:rFonts w:hint="eastAsia"/>
                <w:lang w:val="en-US" w:eastAsia="zh-CN"/>
              </w:rPr>
              <w:t>15</w:t>
            </w:r>
          </w:p>
        </w:tc>
        <w:tc>
          <w:tcPr>
            <w:tcW w:w="502" w:type="pct"/>
            <w:shd w:val="clear" w:color="auto" w:fill="auto"/>
            <w:vAlign w:val="center"/>
          </w:tcPr>
          <w:p w14:paraId="1A6BB193">
            <w:pPr>
              <w:pStyle w:val="45"/>
              <w:bidi w:val="0"/>
              <w:rPr>
                <w:rFonts w:hint="eastAsia"/>
              </w:rPr>
            </w:pPr>
            <w:r>
              <w:rPr>
                <w:rFonts w:hint="eastAsia"/>
                <w:lang w:val="en-US" w:eastAsia="zh-CN"/>
              </w:rPr>
              <w:t>废油桶</w:t>
            </w:r>
          </w:p>
        </w:tc>
        <w:tc>
          <w:tcPr>
            <w:tcW w:w="521" w:type="pct"/>
            <w:shd w:val="clear" w:color="auto" w:fill="auto"/>
            <w:vAlign w:val="center"/>
          </w:tcPr>
          <w:p w14:paraId="7692C9B4">
            <w:pPr>
              <w:pStyle w:val="45"/>
              <w:bidi w:val="0"/>
              <w:rPr>
                <w:rFonts w:hint="eastAsia"/>
              </w:rPr>
            </w:pPr>
            <w:r>
              <w:rPr>
                <w:rFonts w:hint="eastAsia"/>
                <w:lang w:val="en-US" w:eastAsia="zh-CN"/>
              </w:rPr>
              <w:t>HW08废矿物油与含矿物油废物</w:t>
            </w:r>
          </w:p>
        </w:tc>
        <w:tc>
          <w:tcPr>
            <w:tcW w:w="506" w:type="pct"/>
            <w:shd w:val="clear" w:color="auto" w:fill="auto"/>
            <w:vAlign w:val="center"/>
          </w:tcPr>
          <w:p w14:paraId="667C3297">
            <w:pPr>
              <w:pStyle w:val="45"/>
              <w:bidi w:val="0"/>
              <w:rPr>
                <w:rFonts w:hint="eastAsia"/>
              </w:rPr>
            </w:pPr>
            <w:r>
              <w:rPr>
                <w:rFonts w:hint="eastAsia"/>
                <w:lang w:val="en-US" w:eastAsia="zh-CN"/>
              </w:rPr>
              <w:t>900-249-08</w:t>
            </w:r>
          </w:p>
        </w:tc>
        <w:tc>
          <w:tcPr>
            <w:tcW w:w="646" w:type="pct"/>
            <w:shd w:val="clear" w:color="auto" w:fill="auto"/>
            <w:vAlign w:val="center"/>
          </w:tcPr>
          <w:p w14:paraId="36876416">
            <w:pPr>
              <w:pStyle w:val="45"/>
              <w:bidi w:val="0"/>
              <w:rPr>
                <w:rFonts w:hint="eastAsia"/>
              </w:rPr>
            </w:pPr>
            <w:r>
              <w:rPr>
                <w:rFonts w:hint="eastAsia"/>
                <w:lang w:val="en-US" w:eastAsia="zh-CN"/>
              </w:rPr>
              <w:t>润滑油使用后的包装</w:t>
            </w:r>
          </w:p>
        </w:tc>
        <w:tc>
          <w:tcPr>
            <w:tcW w:w="370" w:type="pct"/>
            <w:shd w:val="clear" w:color="auto" w:fill="auto"/>
            <w:vAlign w:val="center"/>
          </w:tcPr>
          <w:p w14:paraId="4404DCF4">
            <w:pPr>
              <w:pStyle w:val="45"/>
              <w:bidi w:val="0"/>
              <w:rPr>
                <w:rFonts w:hint="eastAsia"/>
              </w:rPr>
            </w:pPr>
            <w:r>
              <w:rPr>
                <w:rFonts w:hint="eastAsia"/>
                <w:lang w:val="en-US" w:eastAsia="zh-CN"/>
              </w:rPr>
              <w:t>固体</w:t>
            </w:r>
          </w:p>
        </w:tc>
        <w:tc>
          <w:tcPr>
            <w:tcW w:w="377" w:type="pct"/>
            <w:shd w:val="clear" w:color="auto" w:fill="auto"/>
            <w:vAlign w:val="center"/>
          </w:tcPr>
          <w:p w14:paraId="272FDF56">
            <w:pPr>
              <w:pStyle w:val="45"/>
              <w:bidi w:val="0"/>
              <w:rPr>
                <w:rFonts w:hint="default"/>
                <w:lang w:val="en-US" w:eastAsia="zh-CN"/>
              </w:rPr>
            </w:pPr>
            <w:r>
              <w:rPr>
                <w:rFonts w:hint="eastAsia"/>
                <w:lang w:val="en-US" w:eastAsia="zh-CN"/>
              </w:rPr>
              <w:t>2</w:t>
            </w:r>
          </w:p>
        </w:tc>
        <w:tc>
          <w:tcPr>
            <w:tcW w:w="587" w:type="pct"/>
            <w:shd w:val="clear" w:color="auto" w:fill="auto"/>
            <w:vAlign w:val="center"/>
          </w:tcPr>
          <w:p w14:paraId="7B2D0825">
            <w:pPr>
              <w:pStyle w:val="45"/>
              <w:bidi w:val="0"/>
              <w:rPr>
                <w:rFonts w:hint="eastAsia"/>
              </w:rPr>
            </w:pPr>
            <w:r>
              <w:rPr>
                <w:rFonts w:hint="eastAsia"/>
                <w:lang w:val="en-US" w:eastAsia="zh-CN"/>
              </w:rPr>
              <w:t>矿物油</w:t>
            </w:r>
          </w:p>
        </w:tc>
        <w:tc>
          <w:tcPr>
            <w:tcW w:w="495" w:type="pct"/>
            <w:shd w:val="clear" w:color="auto" w:fill="auto"/>
            <w:vAlign w:val="center"/>
          </w:tcPr>
          <w:p w14:paraId="3337EC71">
            <w:pPr>
              <w:pStyle w:val="45"/>
              <w:bidi w:val="0"/>
              <w:rPr>
                <w:rFonts w:hint="eastAsia"/>
              </w:rPr>
            </w:pPr>
            <w:r>
              <w:rPr>
                <w:rFonts w:hint="eastAsia"/>
                <w:lang w:val="en-US" w:eastAsia="zh-CN"/>
              </w:rPr>
              <w:t>矿物油</w:t>
            </w:r>
          </w:p>
        </w:tc>
        <w:tc>
          <w:tcPr>
            <w:tcW w:w="738" w:type="pct"/>
            <w:shd w:val="clear" w:color="auto" w:fill="auto"/>
            <w:vAlign w:val="center"/>
          </w:tcPr>
          <w:p w14:paraId="1EA91A51">
            <w:pPr>
              <w:pStyle w:val="45"/>
              <w:bidi w:val="0"/>
              <w:rPr>
                <w:rFonts w:hint="eastAsia"/>
              </w:rPr>
            </w:pPr>
            <w:r>
              <w:rPr>
                <w:rFonts w:hint="eastAsia"/>
                <w:lang w:val="en-US" w:eastAsia="zh-CN"/>
              </w:rPr>
              <w:t>委托</w:t>
            </w:r>
            <w:r>
              <w:rPr>
                <w:rFonts w:hint="eastAsia"/>
              </w:rPr>
              <w:t>常熟市福新包装容器有限公司</w:t>
            </w:r>
            <w:r>
              <w:rPr>
                <w:rFonts w:hint="eastAsia"/>
                <w:lang w:val="en-US" w:eastAsia="zh-CN"/>
              </w:rPr>
              <w:t>处置</w:t>
            </w:r>
          </w:p>
        </w:tc>
      </w:tr>
      <w:tr w14:paraId="5205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53" w:type="pct"/>
            <w:shd w:val="clear" w:color="auto" w:fill="auto"/>
            <w:vAlign w:val="center"/>
          </w:tcPr>
          <w:p w14:paraId="12D3C6D9">
            <w:pPr>
              <w:pStyle w:val="45"/>
              <w:bidi w:val="0"/>
              <w:rPr>
                <w:rFonts w:hint="eastAsia"/>
              </w:rPr>
            </w:pPr>
            <w:r>
              <w:rPr>
                <w:rFonts w:hint="eastAsia"/>
                <w:lang w:val="en-US" w:eastAsia="zh-CN"/>
              </w:rPr>
              <w:t>16</w:t>
            </w:r>
          </w:p>
        </w:tc>
        <w:tc>
          <w:tcPr>
            <w:tcW w:w="502" w:type="pct"/>
            <w:shd w:val="clear" w:color="auto" w:fill="auto"/>
            <w:vAlign w:val="center"/>
          </w:tcPr>
          <w:p w14:paraId="1EB520F4">
            <w:pPr>
              <w:pStyle w:val="45"/>
              <w:bidi w:val="0"/>
              <w:rPr>
                <w:rFonts w:hint="eastAsia"/>
              </w:rPr>
            </w:pPr>
            <w:r>
              <w:rPr>
                <w:rFonts w:hint="eastAsia"/>
                <w:lang w:val="en-US" w:eastAsia="zh-CN"/>
              </w:rPr>
              <w:t>码头含油废水</w:t>
            </w:r>
          </w:p>
        </w:tc>
        <w:tc>
          <w:tcPr>
            <w:tcW w:w="521" w:type="pct"/>
            <w:shd w:val="clear" w:color="auto" w:fill="auto"/>
            <w:vAlign w:val="center"/>
          </w:tcPr>
          <w:p w14:paraId="1756BEDD">
            <w:pPr>
              <w:pStyle w:val="45"/>
              <w:bidi w:val="0"/>
              <w:rPr>
                <w:rFonts w:hint="eastAsia"/>
              </w:rPr>
            </w:pPr>
            <w:r>
              <w:rPr>
                <w:rFonts w:hint="eastAsia"/>
                <w:lang w:val="en-US" w:eastAsia="zh-CN"/>
              </w:rPr>
              <w:t>HW08废矿物油与含矿物油废物</w:t>
            </w:r>
          </w:p>
        </w:tc>
        <w:tc>
          <w:tcPr>
            <w:tcW w:w="506" w:type="pct"/>
            <w:shd w:val="clear" w:color="auto" w:fill="auto"/>
            <w:vAlign w:val="center"/>
          </w:tcPr>
          <w:p w14:paraId="7887A633">
            <w:pPr>
              <w:pStyle w:val="45"/>
              <w:bidi w:val="0"/>
              <w:rPr>
                <w:rFonts w:hint="eastAsia"/>
              </w:rPr>
            </w:pPr>
            <w:r>
              <w:rPr>
                <w:rFonts w:hint="eastAsia"/>
                <w:lang w:val="en-US" w:eastAsia="zh-CN"/>
              </w:rPr>
              <w:t>900-249-08</w:t>
            </w:r>
          </w:p>
        </w:tc>
        <w:tc>
          <w:tcPr>
            <w:tcW w:w="646" w:type="pct"/>
            <w:shd w:val="clear" w:color="auto" w:fill="auto"/>
            <w:vAlign w:val="center"/>
          </w:tcPr>
          <w:p w14:paraId="722E4572">
            <w:pPr>
              <w:pStyle w:val="45"/>
              <w:bidi w:val="0"/>
              <w:rPr>
                <w:rFonts w:hint="eastAsia"/>
              </w:rPr>
            </w:pPr>
            <w:r>
              <w:rPr>
                <w:rFonts w:hint="eastAsia"/>
                <w:lang w:val="en-US" w:eastAsia="zh-CN"/>
              </w:rPr>
              <w:t>码头产生的油污水</w:t>
            </w:r>
          </w:p>
        </w:tc>
        <w:tc>
          <w:tcPr>
            <w:tcW w:w="370" w:type="pct"/>
            <w:shd w:val="clear" w:color="auto" w:fill="auto"/>
            <w:vAlign w:val="center"/>
          </w:tcPr>
          <w:p w14:paraId="0825CF68">
            <w:pPr>
              <w:pStyle w:val="45"/>
              <w:bidi w:val="0"/>
              <w:rPr>
                <w:rFonts w:hint="eastAsia"/>
              </w:rPr>
            </w:pPr>
            <w:r>
              <w:rPr>
                <w:rFonts w:hint="eastAsia"/>
                <w:lang w:val="en-US" w:eastAsia="zh-CN"/>
              </w:rPr>
              <w:t>液体</w:t>
            </w:r>
          </w:p>
        </w:tc>
        <w:tc>
          <w:tcPr>
            <w:tcW w:w="377" w:type="pct"/>
            <w:shd w:val="clear" w:color="auto" w:fill="auto"/>
            <w:vAlign w:val="center"/>
          </w:tcPr>
          <w:p w14:paraId="61BACAD2">
            <w:pPr>
              <w:pStyle w:val="45"/>
              <w:bidi w:val="0"/>
              <w:rPr>
                <w:rFonts w:hint="default"/>
                <w:lang w:val="en-US" w:eastAsia="zh-CN"/>
              </w:rPr>
            </w:pPr>
            <w:r>
              <w:rPr>
                <w:rFonts w:hint="eastAsia"/>
                <w:lang w:val="en-US" w:eastAsia="zh-CN"/>
              </w:rPr>
              <w:t>1</w:t>
            </w:r>
          </w:p>
        </w:tc>
        <w:tc>
          <w:tcPr>
            <w:tcW w:w="587" w:type="pct"/>
            <w:shd w:val="clear" w:color="auto" w:fill="auto"/>
            <w:vAlign w:val="center"/>
          </w:tcPr>
          <w:p w14:paraId="62897DDB">
            <w:pPr>
              <w:pStyle w:val="45"/>
              <w:bidi w:val="0"/>
              <w:rPr>
                <w:rFonts w:hint="eastAsia"/>
              </w:rPr>
            </w:pPr>
            <w:r>
              <w:rPr>
                <w:rFonts w:hint="eastAsia"/>
                <w:lang w:val="en-US" w:eastAsia="zh-CN"/>
              </w:rPr>
              <w:t>矿物油、水</w:t>
            </w:r>
          </w:p>
        </w:tc>
        <w:tc>
          <w:tcPr>
            <w:tcW w:w="495" w:type="pct"/>
            <w:shd w:val="clear" w:color="auto" w:fill="auto"/>
            <w:vAlign w:val="center"/>
          </w:tcPr>
          <w:p w14:paraId="7EB0B2C8">
            <w:pPr>
              <w:pStyle w:val="45"/>
              <w:bidi w:val="0"/>
              <w:rPr>
                <w:rFonts w:hint="eastAsia"/>
              </w:rPr>
            </w:pPr>
            <w:r>
              <w:rPr>
                <w:rFonts w:hint="eastAsia"/>
                <w:lang w:val="en-US" w:eastAsia="zh-CN"/>
              </w:rPr>
              <w:t>矿物油</w:t>
            </w:r>
          </w:p>
        </w:tc>
        <w:tc>
          <w:tcPr>
            <w:tcW w:w="738" w:type="pct"/>
            <w:shd w:val="clear" w:color="auto" w:fill="auto"/>
            <w:vAlign w:val="center"/>
          </w:tcPr>
          <w:p w14:paraId="6738E89E">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75DD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53" w:type="pct"/>
            <w:shd w:val="clear" w:color="auto" w:fill="auto"/>
            <w:vAlign w:val="center"/>
          </w:tcPr>
          <w:p w14:paraId="4721D2D5">
            <w:pPr>
              <w:pStyle w:val="45"/>
              <w:bidi w:val="0"/>
              <w:rPr>
                <w:rFonts w:hint="default"/>
                <w:lang w:val="en-US"/>
              </w:rPr>
            </w:pPr>
            <w:r>
              <w:rPr>
                <w:rFonts w:hint="eastAsia"/>
                <w:lang w:val="en-US" w:eastAsia="zh-CN"/>
              </w:rPr>
              <w:t>17</w:t>
            </w:r>
          </w:p>
        </w:tc>
        <w:tc>
          <w:tcPr>
            <w:tcW w:w="502" w:type="pct"/>
            <w:shd w:val="clear" w:color="auto" w:fill="auto"/>
            <w:vAlign w:val="center"/>
          </w:tcPr>
          <w:p w14:paraId="504548B0">
            <w:pPr>
              <w:pStyle w:val="45"/>
              <w:bidi w:val="0"/>
              <w:rPr>
                <w:rFonts w:hint="eastAsia"/>
              </w:rPr>
            </w:pPr>
            <w:r>
              <w:rPr>
                <w:rFonts w:hint="eastAsia"/>
                <w:lang w:val="en-US" w:eastAsia="zh-CN"/>
              </w:rPr>
              <w:t>废活性炭</w:t>
            </w:r>
          </w:p>
        </w:tc>
        <w:tc>
          <w:tcPr>
            <w:tcW w:w="521" w:type="pct"/>
            <w:shd w:val="clear" w:color="auto" w:fill="auto"/>
            <w:vAlign w:val="center"/>
          </w:tcPr>
          <w:p w14:paraId="612BBCAC">
            <w:pPr>
              <w:pStyle w:val="45"/>
              <w:bidi w:val="0"/>
              <w:rPr>
                <w:rFonts w:hint="eastAsia"/>
              </w:rPr>
            </w:pPr>
            <w:r>
              <w:rPr>
                <w:rFonts w:hint="eastAsia"/>
                <w:lang w:val="en-US" w:eastAsia="zh-CN"/>
              </w:rPr>
              <w:t>HW49其他废物</w:t>
            </w:r>
          </w:p>
        </w:tc>
        <w:tc>
          <w:tcPr>
            <w:tcW w:w="506" w:type="pct"/>
            <w:shd w:val="clear" w:color="auto" w:fill="auto"/>
            <w:vAlign w:val="center"/>
          </w:tcPr>
          <w:p w14:paraId="050CF23E">
            <w:pPr>
              <w:pStyle w:val="45"/>
              <w:bidi w:val="0"/>
              <w:rPr>
                <w:rFonts w:hint="eastAsia"/>
              </w:rPr>
            </w:pPr>
            <w:r>
              <w:rPr>
                <w:rFonts w:hint="eastAsia"/>
                <w:lang w:val="en-US" w:eastAsia="zh-CN"/>
              </w:rPr>
              <w:t>900-039-49</w:t>
            </w:r>
          </w:p>
        </w:tc>
        <w:tc>
          <w:tcPr>
            <w:tcW w:w="646" w:type="pct"/>
            <w:shd w:val="clear" w:color="auto" w:fill="auto"/>
            <w:vAlign w:val="center"/>
          </w:tcPr>
          <w:p w14:paraId="6E5F87A7">
            <w:pPr>
              <w:pStyle w:val="45"/>
              <w:bidi w:val="0"/>
              <w:rPr>
                <w:rFonts w:hint="eastAsia"/>
              </w:rPr>
            </w:pPr>
            <w:r>
              <w:rPr>
                <w:rFonts w:hint="eastAsia"/>
                <w:lang w:val="en-US" w:eastAsia="zh-CN"/>
              </w:rPr>
              <w:t>危废仓库废气吸收</w:t>
            </w:r>
          </w:p>
        </w:tc>
        <w:tc>
          <w:tcPr>
            <w:tcW w:w="370" w:type="pct"/>
            <w:shd w:val="clear" w:color="auto" w:fill="auto"/>
            <w:vAlign w:val="center"/>
          </w:tcPr>
          <w:p w14:paraId="67ECA1A7">
            <w:pPr>
              <w:pStyle w:val="45"/>
              <w:bidi w:val="0"/>
              <w:rPr>
                <w:rFonts w:hint="eastAsia"/>
              </w:rPr>
            </w:pPr>
            <w:r>
              <w:rPr>
                <w:rFonts w:hint="eastAsia"/>
                <w:lang w:val="en-US" w:eastAsia="zh-CN"/>
              </w:rPr>
              <w:t>固体</w:t>
            </w:r>
          </w:p>
        </w:tc>
        <w:tc>
          <w:tcPr>
            <w:tcW w:w="377" w:type="pct"/>
            <w:shd w:val="clear" w:color="auto" w:fill="auto"/>
            <w:vAlign w:val="center"/>
          </w:tcPr>
          <w:p w14:paraId="3D34522F">
            <w:pPr>
              <w:pStyle w:val="45"/>
              <w:bidi w:val="0"/>
              <w:rPr>
                <w:rFonts w:hint="default"/>
                <w:lang w:val="en-US" w:eastAsia="zh-CN"/>
              </w:rPr>
            </w:pPr>
            <w:r>
              <w:rPr>
                <w:rFonts w:hint="eastAsia"/>
                <w:lang w:val="en-US" w:eastAsia="zh-CN"/>
              </w:rPr>
              <w:t>3.5</w:t>
            </w:r>
          </w:p>
        </w:tc>
        <w:tc>
          <w:tcPr>
            <w:tcW w:w="587" w:type="pct"/>
            <w:shd w:val="clear" w:color="auto" w:fill="auto"/>
            <w:vAlign w:val="center"/>
          </w:tcPr>
          <w:p w14:paraId="14299A17">
            <w:pPr>
              <w:pStyle w:val="45"/>
              <w:bidi w:val="0"/>
              <w:rPr>
                <w:rFonts w:hint="eastAsia"/>
              </w:rPr>
            </w:pPr>
            <w:r>
              <w:rPr>
                <w:rFonts w:hint="eastAsia"/>
                <w:lang w:val="en-US" w:eastAsia="zh-CN"/>
              </w:rPr>
              <w:t>含氟有机物、碳</w:t>
            </w:r>
          </w:p>
        </w:tc>
        <w:tc>
          <w:tcPr>
            <w:tcW w:w="495" w:type="pct"/>
            <w:shd w:val="clear" w:color="auto" w:fill="auto"/>
            <w:vAlign w:val="center"/>
          </w:tcPr>
          <w:p w14:paraId="7F878B5E">
            <w:pPr>
              <w:pStyle w:val="45"/>
              <w:bidi w:val="0"/>
              <w:rPr>
                <w:rFonts w:hint="eastAsia"/>
              </w:rPr>
            </w:pPr>
            <w:r>
              <w:rPr>
                <w:rFonts w:hint="eastAsia"/>
                <w:lang w:val="en-US" w:eastAsia="zh-CN"/>
              </w:rPr>
              <w:t>氟氯烃</w:t>
            </w:r>
          </w:p>
        </w:tc>
        <w:tc>
          <w:tcPr>
            <w:tcW w:w="738" w:type="pct"/>
            <w:shd w:val="clear" w:color="auto" w:fill="auto"/>
            <w:vAlign w:val="center"/>
          </w:tcPr>
          <w:p w14:paraId="18997E60">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3D98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253" w:type="pct"/>
            <w:shd w:val="clear" w:color="auto" w:fill="auto"/>
            <w:vAlign w:val="center"/>
          </w:tcPr>
          <w:p w14:paraId="668D3915">
            <w:pPr>
              <w:pStyle w:val="45"/>
              <w:bidi w:val="0"/>
              <w:rPr>
                <w:rFonts w:hint="eastAsia"/>
              </w:rPr>
            </w:pPr>
            <w:r>
              <w:rPr>
                <w:rFonts w:hint="eastAsia"/>
                <w:lang w:val="en-US" w:eastAsia="zh-CN"/>
              </w:rPr>
              <w:t>18</w:t>
            </w:r>
          </w:p>
        </w:tc>
        <w:tc>
          <w:tcPr>
            <w:tcW w:w="502" w:type="pct"/>
            <w:shd w:val="clear" w:color="auto" w:fill="auto"/>
            <w:vAlign w:val="center"/>
          </w:tcPr>
          <w:p w14:paraId="760163EE">
            <w:pPr>
              <w:pStyle w:val="45"/>
              <w:bidi w:val="0"/>
              <w:rPr>
                <w:rFonts w:hint="eastAsia"/>
              </w:rPr>
            </w:pPr>
            <w:r>
              <w:rPr>
                <w:rFonts w:hint="eastAsia"/>
                <w:lang w:val="en-US" w:eastAsia="zh-CN"/>
              </w:rPr>
              <w:t>实验室废液</w:t>
            </w:r>
          </w:p>
        </w:tc>
        <w:tc>
          <w:tcPr>
            <w:tcW w:w="521" w:type="pct"/>
            <w:shd w:val="clear" w:color="auto" w:fill="auto"/>
            <w:vAlign w:val="center"/>
          </w:tcPr>
          <w:p w14:paraId="6EE3B574">
            <w:pPr>
              <w:pStyle w:val="45"/>
              <w:bidi w:val="0"/>
              <w:rPr>
                <w:rFonts w:hint="eastAsia"/>
              </w:rPr>
            </w:pPr>
            <w:r>
              <w:rPr>
                <w:rFonts w:hint="eastAsia"/>
                <w:lang w:val="en-US" w:eastAsia="zh-CN"/>
              </w:rPr>
              <w:t>HW49其他废物</w:t>
            </w:r>
          </w:p>
        </w:tc>
        <w:tc>
          <w:tcPr>
            <w:tcW w:w="506" w:type="pct"/>
            <w:shd w:val="clear" w:color="auto" w:fill="auto"/>
            <w:vAlign w:val="center"/>
          </w:tcPr>
          <w:p w14:paraId="78B77CCD">
            <w:pPr>
              <w:pStyle w:val="45"/>
              <w:bidi w:val="0"/>
              <w:rPr>
                <w:rFonts w:hint="eastAsia"/>
              </w:rPr>
            </w:pPr>
            <w:r>
              <w:rPr>
                <w:rFonts w:hint="eastAsia"/>
                <w:lang w:val="en-US" w:eastAsia="zh-CN"/>
              </w:rPr>
              <w:t>900-047-49</w:t>
            </w:r>
          </w:p>
        </w:tc>
        <w:tc>
          <w:tcPr>
            <w:tcW w:w="646" w:type="pct"/>
            <w:shd w:val="clear" w:color="auto" w:fill="auto"/>
            <w:vAlign w:val="center"/>
          </w:tcPr>
          <w:p w14:paraId="1BC947F5">
            <w:pPr>
              <w:pStyle w:val="45"/>
              <w:bidi w:val="0"/>
              <w:rPr>
                <w:rFonts w:hint="eastAsia"/>
              </w:rPr>
            </w:pPr>
            <w:r>
              <w:rPr>
                <w:rFonts w:hint="eastAsia"/>
                <w:lang w:val="en-US" w:eastAsia="zh-CN"/>
              </w:rPr>
              <w:t>质检部、在线仪废液</w:t>
            </w:r>
          </w:p>
        </w:tc>
        <w:tc>
          <w:tcPr>
            <w:tcW w:w="370" w:type="pct"/>
            <w:shd w:val="clear" w:color="auto" w:fill="auto"/>
            <w:vAlign w:val="center"/>
          </w:tcPr>
          <w:p w14:paraId="770D0EFA">
            <w:pPr>
              <w:pStyle w:val="45"/>
              <w:bidi w:val="0"/>
              <w:rPr>
                <w:rFonts w:hint="eastAsia"/>
              </w:rPr>
            </w:pPr>
            <w:r>
              <w:rPr>
                <w:rFonts w:hint="eastAsia"/>
                <w:lang w:val="en-US" w:eastAsia="zh-CN"/>
              </w:rPr>
              <w:t>液体</w:t>
            </w:r>
          </w:p>
        </w:tc>
        <w:tc>
          <w:tcPr>
            <w:tcW w:w="377" w:type="pct"/>
            <w:shd w:val="clear" w:color="auto" w:fill="auto"/>
            <w:vAlign w:val="center"/>
          </w:tcPr>
          <w:p w14:paraId="2DEE7F6F">
            <w:pPr>
              <w:pStyle w:val="45"/>
              <w:bidi w:val="0"/>
              <w:rPr>
                <w:rFonts w:hint="default"/>
                <w:lang w:val="en-US" w:eastAsia="zh-CN"/>
              </w:rPr>
            </w:pPr>
            <w:r>
              <w:rPr>
                <w:rFonts w:hint="eastAsia"/>
                <w:lang w:val="en-US" w:eastAsia="zh-CN"/>
              </w:rPr>
              <w:t>1</w:t>
            </w:r>
          </w:p>
        </w:tc>
        <w:tc>
          <w:tcPr>
            <w:tcW w:w="587" w:type="pct"/>
            <w:shd w:val="clear" w:color="auto" w:fill="auto"/>
            <w:vAlign w:val="center"/>
          </w:tcPr>
          <w:p w14:paraId="7FAE24D5">
            <w:pPr>
              <w:pStyle w:val="45"/>
              <w:bidi w:val="0"/>
              <w:rPr>
                <w:rFonts w:hint="eastAsia"/>
              </w:rPr>
            </w:pPr>
            <w:r>
              <w:rPr>
                <w:rFonts w:hint="eastAsia"/>
                <w:lang w:val="en-US" w:eastAsia="zh-CN"/>
              </w:rPr>
              <w:t>酸性及有机废液</w:t>
            </w:r>
          </w:p>
        </w:tc>
        <w:tc>
          <w:tcPr>
            <w:tcW w:w="495" w:type="pct"/>
            <w:shd w:val="clear" w:color="auto" w:fill="auto"/>
            <w:vAlign w:val="center"/>
          </w:tcPr>
          <w:p w14:paraId="71E5CC5F">
            <w:pPr>
              <w:pStyle w:val="45"/>
              <w:bidi w:val="0"/>
              <w:rPr>
                <w:rFonts w:hint="eastAsia"/>
              </w:rPr>
            </w:pPr>
            <w:r>
              <w:rPr>
                <w:rFonts w:hint="eastAsia"/>
                <w:lang w:val="en-US" w:eastAsia="zh-CN"/>
              </w:rPr>
              <w:t>酸性及有机废液</w:t>
            </w:r>
          </w:p>
        </w:tc>
        <w:tc>
          <w:tcPr>
            <w:tcW w:w="738" w:type="pct"/>
            <w:shd w:val="clear" w:color="auto" w:fill="auto"/>
            <w:vAlign w:val="center"/>
          </w:tcPr>
          <w:p w14:paraId="52FDF18B">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5558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253" w:type="pct"/>
            <w:shd w:val="clear" w:color="auto" w:fill="auto"/>
            <w:vAlign w:val="center"/>
          </w:tcPr>
          <w:p w14:paraId="54F913D0">
            <w:pPr>
              <w:pStyle w:val="45"/>
              <w:bidi w:val="0"/>
              <w:rPr>
                <w:rFonts w:hint="default"/>
                <w:lang w:val="en-US"/>
              </w:rPr>
            </w:pPr>
            <w:r>
              <w:rPr>
                <w:rFonts w:hint="eastAsia"/>
                <w:lang w:val="en-US" w:eastAsia="zh-CN"/>
              </w:rPr>
              <w:t>19</w:t>
            </w:r>
          </w:p>
        </w:tc>
        <w:tc>
          <w:tcPr>
            <w:tcW w:w="502" w:type="pct"/>
            <w:shd w:val="clear" w:color="auto" w:fill="auto"/>
            <w:vAlign w:val="center"/>
          </w:tcPr>
          <w:p w14:paraId="7E256177">
            <w:pPr>
              <w:pStyle w:val="45"/>
              <w:bidi w:val="0"/>
              <w:rPr>
                <w:rFonts w:hint="eastAsia"/>
              </w:rPr>
            </w:pPr>
            <w:r>
              <w:rPr>
                <w:rFonts w:hint="eastAsia"/>
                <w:lang w:val="en-US" w:eastAsia="zh-CN"/>
              </w:rPr>
              <w:t>废氧化铝</w:t>
            </w:r>
          </w:p>
        </w:tc>
        <w:tc>
          <w:tcPr>
            <w:tcW w:w="521" w:type="pct"/>
            <w:shd w:val="clear" w:color="auto" w:fill="auto"/>
            <w:vAlign w:val="center"/>
          </w:tcPr>
          <w:p w14:paraId="106039D2">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451872A4">
            <w:pPr>
              <w:pStyle w:val="45"/>
              <w:bidi w:val="0"/>
              <w:rPr>
                <w:rFonts w:hint="eastAsia"/>
              </w:rPr>
            </w:pPr>
            <w:r>
              <w:rPr>
                <w:rFonts w:hint="eastAsia"/>
                <w:lang w:val="en-US" w:eastAsia="zh-CN"/>
              </w:rPr>
              <w:t>261-084-45</w:t>
            </w:r>
          </w:p>
        </w:tc>
        <w:tc>
          <w:tcPr>
            <w:tcW w:w="646" w:type="pct"/>
            <w:shd w:val="clear" w:color="auto" w:fill="auto"/>
            <w:vAlign w:val="center"/>
          </w:tcPr>
          <w:p w14:paraId="34F10008">
            <w:pPr>
              <w:pStyle w:val="45"/>
              <w:bidi w:val="0"/>
              <w:rPr>
                <w:rFonts w:hint="eastAsia"/>
              </w:rPr>
            </w:pPr>
            <w:r>
              <w:rPr>
                <w:rFonts w:hint="eastAsia"/>
                <w:lang w:val="en-US" w:eastAsia="zh-CN"/>
              </w:rPr>
              <w:t>HFP生产线（冷却过滤）</w:t>
            </w:r>
          </w:p>
        </w:tc>
        <w:tc>
          <w:tcPr>
            <w:tcW w:w="370" w:type="pct"/>
            <w:shd w:val="clear" w:color="auto" w:fill="auto"/>
            <w:vAlign w:val="center"/>
          </w:tcPr>
          <w:p w14:paraId="61F42586">
            <w:pPr>
              <w:pStyle w:val="45"/>
              <w:bidi w:val="0"/>
              <w:rPr>
                <w:rFonts w:hint="eastAsia"/>
              </w:rPr>
            </w:pPr>
            <w:r>
              <w:rPr>
                <w:rFonts w:hint="eastAsia"/>
                <w:lang w:val="en-US" w:eastAsia="zh-CN"/>
              </w:rPr>
              <w:t>固体</w:t>
            </w:r>
          </w:p>
        </w:tc>
        <w:tc>
          <w:tcPr>
            <w:tcW w:w="377" w:type="pct"/>
            <w:shd w:val="clear" w:color="auto" w:fill="auto"/>
            <w:vAlign w:val="center"/>
          </w:tcPr>
          <w:p w14:paraId="54376850">
            <w:pPr>
              <w:pStyle w:val="45"/>
              <w:bidi w:val="0"/>
              <w:rPr>
                <w:rFonts w:hint="default"/>
                <w:lang w:val="en-US" w:eastAsia="zh-CN"/>
              </w:rPr>
            </w:pPr>
            <w:r>
              <w:rPr>
                <w:rFonts w:hint="eastAsia"/>
                <w:lang w:val="en-US" w:eastAsia="zh-CN"/>
              </w:rPr>
              <w:t>5</w:t>
            </w:r>
          </w:p>
        </w:tc>
        <w:tc>
          <w:tcPr>
            <w:tcW w:w="587" w:type="pct"/>
            <w:shd w:val="clear" w:color="auto" w:fill="auto"/>
            <w:vAlign w:val="center"/>
          </w:tcPr>
          <w:p w14:paraId="4EECC00A">
            <w:pPr>
              <w:pStyle w:val="45"/>
              <w:bidi w:val="0"/>
              <w:rPr>
                <w:rFonts w:hint="eastAsia"/>
              </w:rPr>
            </w:pPr>
            <w:r>
              <w:rPr>
                <w:rFonts w:hint="eastAsia"/>
                <w:lang w:val="en-US" w:eastAsia="zh-CN"/>
              </w:rPr>
              <w:t>氧化铝</w:t>
            </w:r>
          </w:p>
        </w:tc>
        <w:tc>
          <w:tcPr>
            <w:tcW w:w="495" w:type="pct"/>
            <w:shd w:val="clear" w:color="auto" w:fill="auto"/>
            <w:vAlign w:val="center"/>
          </w:tcPr>
          <w:p w14:paraId="057B7A36">
            <w:pPr>
              <w:pStyle w:val="45"/>
              <w:bidi w:val="0"/>
              <w:rPr>
                <w:rFonts w:hint="eastAsia"/>
              </w:rPr>
            </w:pPr>
            <w:r>
              <w:rPr>
                <w:rFonts w:hint="eastAsia"/>
                <w:lang w:val="en-US" w:eastAsia="zh-CN"/>
              </w:rPr>
              <w:t>氧化铝</w:t>
            </w:r>
          </w:p>
        </w:tc>
        <w:tc>
          <w:tcPr>
            <w:tcW w:w="738" w:type="pct"/>
            <w:shd w:val="clear" w:color="auto" w:fill="auto"/>
            <w:vAlign w:val="center"/>
          </w:tcPr>
          <w:p w14:paraId="5068D198">
            <w:pPr>
              <w:pStyle w:val="45"/>
              <w:bidi w:val="0"/>
              <w:rPr>
                <w:rFonts w:hint="eastAsia"/>
              </w:rPr>
            </w:pPr>
            <w:r>
              <w:rPr>
                <w:rFonts w:hint="eastAsia"/>
                <w:lang w:val="en-US" w:eastAsia="zh-CN"/>
              </w:rPr>
              <w:t>委托</w:t>
            </w:r>
            <w:r>
              <w:rPr>
                <w:rFonts w:hint="eastAsia"/>
              </w:rPr>
              <w:t>光大绿色环保固废处置（张家港）有限公司</w:t>
            </w:r>
            <w:r>
              <w:rPr>
                <w:rFonts w:hint="eastAsia"/>
                <w:lang w:val="en-US" w:eastAsia="zh-CN"/>
              </w:rPr>
              <w:t>处置</w:t>
            </w:r>
          </w:p>
        </w:tc>
      </w:tr>
      <w:tr w14:paraId="51A1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253" w:type="pct"/>
            <w:shd w:val="clear" w:color="auto" w:fill="auto"/>
            <w:vAlign w:val="center"/>
          </w:tcPr>
          <w:p w14:paraId="5F20EE8B">
            <w:pPr>
              <w:pStyle w:val="45"/>
              <w:bidi w:val="0"/>
              <w:rPr>
                <w:rFonts w:hint="eastAsia"/>
              </w:rPr>
            </w:pPr>
            <w:r>
              <w:rPr>
                <w:rFonts w:hint="eastAsia"/>
                <w:lang w:val="en-US" w:eastAsia="zh-CN"/>
              </w:rPr>
              <w:t>20</w:t>
            </w:r>
          </w:p>
        </w:tc>
        <w:tc>
          <w:tcPr>
            <w:tcW w:w="502" w:type="pct"/>
            <w:shd w:val="clear" w:color="auto" w:fill="auto"/>
            <w:vAlign w:val="center"/>
          </w:tcPr>
          <w:p w14:paraId="289D19FB">
            <w:pPr>
              <w:pStyle w:val="45"/>
              <w:bidi w:val="0"/>
              <w:rPr>
                <w:rFonts w:hint="eastAsia"/>
              </w:rPr>
            </w:pPr>
            <w:r>
              <w:rPr>
                <w:rFonts w:hint="eastAsia"/>
                <w:lang w:val="en-US" w:eastAsia="zh-CN"/>
              </w:rPr>
              <w:t>氟蜡</w:t>
            </w:r>
          </w:p>
        </w:tc>
        <w:tc>
          <w:tcPr>
            <w:tcW w:w="521" w:type="pct"/>
            <w:shd w:val="clear" w:color="auto" w:fill="auto"/>
            <w:vAlign w:val="center"/>
          </w:tcPr>
          <w:p w14:paraId="02A9D298">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4DEDD7EF">
            <w:pPr>
              <w:pStyle w:val="45"/>
              <w:bidi w:val="0"/>
              <w:rPr>
                <w:rFonts w:hint="eastAsia"/>
              </w:rPr>
            </w:pPr>
            <w:r>
              <w:rPr>
                <w:rFonts w:hint="eastAsia"/>
                <w:lang w:val="en-US" w:eastAsia="zh-CN"/>
              </w:rPr>
              <w:t>261-084-45</w:t>
            </w:r>
          </w:p>
        </w:tc>
        <w:tc>
          <w:tcPr>
            <w:tcW w:w="646" w:type="pct"/>
            <w:shd w:val="clear" w:color="auto" w:fill="auto"/>
            <w:vAlign w:val="center"/>
          </w:tcPr>
          <w:p w14:paraId="54A015DB">
            <w:pPr>
              <w:pStyle w:val="45"/>
              <w:bidi w:val="0"/>
              <w:rPr>
                <w:rFonts w:hint="eastAsia"/>
              </w:rPr>
            </w:pPr>
            <w:r>
              <w:rPr>
                <w:rFonts w:hint="eastAsia"/>
                <w:lang w:val="en-US" w:eastAsia="zh-CN"/>
              </w:rPr>
              <w:t>HFP生产线(TFE冷却）</w:t>
            </w:r>
          </w:p>
        </w:tc>
        <w:tc>
          <w:tcPr>
            <w:tcW w:w="370" w:type="pct"/>
            <w:shd w:val="clear" w:color="auto" w:fill="auto"/>
            <w:vAlign w:val="center"/>
          </w:tcPr>
          <w:p w14:paraId="4BDC910B">
            <w:pPr>
              <w:pStyle w:val="45"/>
              <w:bidi w:val="0"/>
              <w:rPr>
                <w:rFonts w:hint="eastAsia"/>
              </w:rPr>
            </w:pPr>
            <w:r>
              <w:rPr>
                <w:rFonts w:hint="eastAsia"/>
                <w:lang w:val="en-US" w:eastAsia="zh-CN"/>
              </w:rPr>
              <w:t>固体</w:t>
            </w:r>
          </w:p>
        </w:tc>
        <w:tc>
          <w:tcPr>
            <w:tcW w:w="377" w:type="pct"/>
            <w:shd w:val="clear" w:color="auto" w:fill="auto"/>
            <w:vAlign w:val="center"/>
          </w:tcPr>
          <w:p w14:paraId="48584400">
            <w:pPr>
              <w:pStyle w:val="45"/>
              <w:bidi w:val="0"/>
              <w:rPr>
                <w:rFonts w:hint="default"/>
                <w:lang w:val="en-US" w:eastAsia="zh-CN"/>
              </w:rPr>
            </w:pPr>
            <w:r>
              <w:rPr>
                <w:rFonts w:hint="eastAsia"/>
                <w:lang w:val="en-US" w:eastAsia="zh-CN"/>
              </w:rPr>
              <w:t>30</w:t>
            </w:r>
          </w:p>
        </w:tc>
        <w:tc>
          <w:tcPr>
            <w:tcW w:w="587" w:type="pct"/>
            <w:shd w:val="clear" w:color="auto" w:fill="auto"/>
            <w:vAlign w:val="center"/>
          </w:tcPr>
          <w:p w14:paraId="05BBEAD3">
            <w:pPr>
              <w:pStyle w:val="45"/>
              <w:bidi w:val="0"/>
              <w:rPr>
                <w:rFonts w:hint="eastAsia"/>
              </w:rPr>
            </w:pPr>
            <w:r>
              <w:rPr>
                <w:rFonts w:hint="eastAsia"/>
                <w:lang w:val="en-US" w:eastAsia="zh-CN"/>
              </w:rPr>
              <w:t>高沸</w:t>
            </w:r>
            <w:r>
              <w:rPr>
                <w:rFonts w:hint="eastAsia"/>
                <w:lang w:val="en-US" w:eastAsia="zh-CN"/>
              </w:rPr>
              <w:br w:type="textWrapping"/>
            </w:r>
            <w:r>
              <w:rPr>
                <w:rFonts w:hint="eastAsia"/>
                <w:lang w:val="en-US" w:eastAsia="zh-CN"/>
              </w:rPr>
              <w:t>物、F22、TFE、c-C4F8</w:t>
            </w:r>
          </w:p>
        </w:tc>
        <w:tc>
          <w:tcPr>
            <w:tcW w:w="495" w:type="pct"/>
            <w:shd w:val="clear" w:color="auto" w:fill="auto"/>
            <w:vAlign w:val="center"/>
          </w:tcPr>
          <w:p w14:paraId="54865FCF">
            <w:pPr>
              <w:pStyle w:val="45"/>
              <w:bidi w:val="0"/>
              <w:rPr>
                <w:rFonts w:hint="eastAsia"/>
              </w:rPr>
            </w:pPr>
            <w:r>
              <w:rPr>
                <w:rFonts w:hint="eastAsia"/>
                <w:lang w:val="en-US" w:eastAsia="zh-CN"/>
              </w:rPr>
              <w:t>F22、TFE、c-C4F8等</w:t>
            </w:r>
            <w:r>
              <w:rPr>
                <w:rFonts w:hint="eastAsia"/>
                <w:lang w:val="en-US" w:eastAsia="zh-CN"/>
              </w:rPr>
              <w:br w:type="textWrapping"/>
            </w:r>
            <w:r>
              <w:rPr>
                <w:rFonts w:hint="eastAsia"/>
                <w:lang w:val="en-US" w:eastAsia="zh-CN"/>
              </w:rPr>
              <w:t>氟氯烃</w:t>
            </w:r>
          </w:p>
        </w:tc>
        <w:tc>
          <w:tcPr>
            <w:tcW w:w="738" w:type="pct"/>
            <w:shd w:val="clear" w:color="auto" w:fill="auto"/>
            <w:vAlign w:val="center"/>
          </w:tcPr>
          <w:p w14:paraId="42A01AA2">
            <w:pPr>
              <w:pStyle w:val="45"/>
              <w:bidi w:val="0"/>
              <w:rPr>
                <w:rFonts w:hint="eastAsia"/>
              </w:rPr>
            </w:pPr>
            <w:r>
              <w:rPr>
                <w:rFonts w:hint="eastAsia"/>
                <w:lang w:val="en-US" w:eastAsia="zh-CN"/>
              </w:rPr>
              <w:t>委托</w:t>
            </w:r>
            <w:r>
              <w:rPr>
                <w:rFonts w:hint="eastAsia"/>
              </w:rPr>
              <w:t>宿迁宇新固体废物处置有限公司</w:t>
            </w:r>
            <w:r>
              <w:rPr>
                <w:rFonts w:hint="eastAsia"/>
                <w:lang w:val="en-US" w:eastAsia="zh-CN"/>
              </w:rPr>
              <w:t>处置</w:t>
            </w:r>
          </w:p>
        </w:tc>
      </w:tr>
      <w:tr w14:paraId="05AA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53" w:type="pct"/>
            <w:shd w:val="clear" w:color="auto" w:fill="auto"/>
            <w:vAlign w:val="center"/>
          </w:tcPr>
          <w:p w14:paraId="7DFA93A5">
            <w:pPr>
              <w:pStyle w:val="45"/>
              <w:bidi w:val="0"/>
              <w:rPr>
                <w:rFonts w:hint="eastAsia"/>
              </w:rPr>
            </w:pPr>
            <w:r>
              <w:rPr>
                <w:rFonts w:hint="eastAsia"/>
                <w:lang w:val="en-US" w:eastAsia="zh-CN"/>
              </w:rPr>
              <w:t>21</w:t>
            </w:r>
          </w:p>
        </w:tc>
        <w:tc>
          <w:tcPr>
            <w:tcW w:w="502" w:type="pct"/>
            <w:shd w:val="clear" w:color="auto" w:fill="auto"/>
            <w:vAlign w:val="center"/>
          </w:tcPr>
          <w:p w14:paraId="23703F4B">
            <w:pPr>
              <w:pStyle w:val="45"/>
              <w:bidi w:val="0"/>
              <w:rPr>
                <w:rFonts w:hint="eastAsia"/>
              </w:rPr>
            </w:pPr>
            <w:r>
              <w:rPr>
                <w:rFonts w:hint="eastAsia"/>
                <w:lang w:val="en-US" w:eastAsia="zh-CN"/>
              </w:rPr>
              <w:t>自聚物</w:t>
            </w:r>
          </w:p>
        </w:tc>
        <w:tc>
          <w:tcPr>
            <w:tcW w:w="521" w:type="pct"/>
            <w:shd w:val="clear" w:color="auto" w:fill="auto"/>
            <w:vAlign w:val="center"/>
          </w:tcPr>
          <w:p w14:paraId="3FD3CCAC">
            <w:pPr>
              <w:pStyle w:val="45"/>
              <w:bidi w:val="0"/>
              <w:rPr>
                <w:rFonts w:hint="eastAsia"/>
              </w:rPr>
            </w:pPr>
            <w:r>
              <w:rPr>
                <w:rFonts w:hint="eastAsia"/>
                <w:lang w:val="en-US" w:eastAsia="zh-CN"/>
              </w:rPr>
              <w:t xml:space="preserve">HW13 </w:t>
            </w:r>
            <w:r>
              <w:rPr>
                <w:rFonts w:hint="eastAsia"/>
                <w:lang w:val="en-US" w:eastAsia="zh-CN"/>
              </w:rPr>
              <w:br w:type="textWrapping"/>
            </w:r>
            <w:r>
              <w:rPr>
                <w:rFonts w:hint="eastAsia"/>
                <w:lang w:val="en-US" w:eastAsia="zh-CN"/>
              </w:rPr>
              <w:t>有机树脂类废物</w:t>
            </w:r>
          </w:p>
        </w:tc>
        <w:tc>
          <w:tcPr>
            <w:tcW w:w="506" w:type="pct"/>
            <w:shd w:val="clear" w:color="auto" w:fill="auto"/>
            <w:vAlign w:val="center"/>
          </w:tcPr>
          <w:p w14:paraId="54961BDB">
            <w:pPr>
              <w:pStyle w:val="45"/>
              <w:bidi w:val="0"/>
              <w:rPr>
                <w:rFonts w:hint="eastAsia"/>
              </w:rPr>
            </w:pPr>
            <w:r>
              <w:rPr>
                <w:rFonts w:hint="eastAsia"/>
                <w:lang w:val="en-US" w:eastAsia="zh-CN"/>
              </w:rPr>
              <w:t>900-016-13</w:t>
            </w:r>
          </w:p>
        </w:tc>
        <w:tc>
          <w:tcPr>
            <w:tcW w:w="646" w:type="pct"/>
            <w:shd w:val="clear" w:color="auto" w:fill="auto"/>
            <w:vAlign w:val="center"/>
          </w:tcPr>
          <w:p w14:paraId="5FD6C861">
            <w:pPr>
              <w:pStyle w:val="45"/>
              <w:bidi w:val="0"/>
              <w:rPr>
                <w:rFonts w:hint="eastAsia"/>
              </w:rPr>
            </w:pPr>
            <w:r>
              <w:rPr>
                <w:rFonts w:hint="eastAsia"/>
                <w:lang w:val="en-US" w:eastAsia="zh-CN"/>
              </w:rPr>
              <w:t>HFP生产线（冷却过滤）</w:t>
            </w:r>
          </w:p>
        </w:tc>
        <w:tc>
          <w:tcPr>
            <w:tcW w:w="370" w:type="pct"/>
            <w:shd w:val="clear" w:color="auto" w:fill="auto"/>
            <w:vAlign w:val="center"/>
          </w:tcPr>
          <w:p w14:paraId="2F83E8D3">
            <w:pPr>
              <w:pStyle w:val="45"/>
              <w:bidi w:val="0"/>
              <w:rPr>
                <w:rFonts w:hint="eastAsia"/>
              </w:rPr>
            </w:pPr>
            <w:r>
              <w:rPr>
                <w:rFonts w:hint="eastAsia"/>
                <w:lang w:val="en-US" w:eastAsia="zh-CN"/>
              </w:rPr>
              <w:t>固体</w:t>
            </w:r>
          </w:p>
        </w:tc>
        <w:tc>
          <w:tcPr>
            <w:tcW w:w="377" w:type="pct"/>
            <w:shd w:val="clear" w:color="auto" w:fill="auto"/>
            <w:vAlign w:val="center"/>
          </w:tcPr>
          <w:p w14:paraId="3D25DA8B">
            <w:pPr>
              <w:pStyle w:val="45"/>
              <w:bidi w:val="0"/>
              <w:rPr>
                <w:rFonts w:hint="default"/>
                <w:lang w:val="en-US" w:eastAsia="zh-CN"/>
              </w:rPr>
            </w:pPr>
            <w:r>
              <w:rPr>
                <w:rFonts w:hint="eastAsia"/>
                <w:lang w:val="en-US" w:eastAsia="zh-CN"/>
              </w:rPr>
              <w:t>25</w:t>
            </w:r>
          </w:p>
        </w:tc>
        <w:tc>
          <w:tcPr>
            <w:tcW w:w="587" w:type="pct"/>
            <w:shd w:val="clear" w:color="auto" w:fill="auto"/>
            <w:vAlign w:val="center"/>
          </w:tcPr>
          <w:p w14:paraId="38B09B20">
            <w:pPr>
              <w:pStyle w:val="45"/>
              <w:bidi w:val="0"/>
              <w:rPr>
                <w:rFonts w:hint="eastAsia"/>
              </w:rPr>
            </w:pPr>
            <w:r>
              <w:rPr>
                <w:rFonts w:hint="eastAsia"/>
                <w:lang w:val="en-US" w:eastAsia="zh-CN"/>
              </w:rPr>
              <w:t>PTFE、炭黑、自聚物</w:t>
            </w:r>
          </w:p>
        </w:tc>
        <w:tc>
          <w:tcPr>
            <w:tcW w:w="495" w:type="pct"/>
            <w:shd w:val="clear" w:color="auto" w:fill="auto"/>
            <w:vAlign w:val="center"/>
          </w:tcPr>
          <w:p w14:paraId="5A515CFC">
            <w:pPr>
              <w:pStyle w:val="45"/>
              <w:bidi w:val="0"/>
              <w:rPr>
                <w:rFonts w:hint="eastAsia"/>
              </w:rPr>
            </w:pPr>
            <w:r>
              <w:rPr>
                <w:rFonts w:hint="eastAsia"/>
                <w:lang w:val="en-US" w:eastAsia="zh-CN"/>
              </w:rPr>
              <w:t>PTFE 等</w:t>
            </w:r>
          </w:p>
        </w:tc>
        <w:tc>
          <w:tcPr>
            <w:tcW w:w="738" w:type="pct"/>
            <w:shd w:val="clear" w:color="auto" w:fill="auto"/>
            <w:vAlign w:val="center"/>
          </w:tcPr>
          <w:p w14:paraId="392B1A8A">
            <w:pPr>
              <w:pStyle w:val="45"/>
              <w:bidi w:val="0"/>
              <w:rPr>
                <w:rFonts w:hint="eastAsia"/>
              </w:rPr>
            </w:pPr>
            <w:r>
              <w:rPr>
                <w:rFonts w:hint="eastAsia"/>
                <w:lang w:val="en-US" w:eastAsia="zh-CN"/>
              </w:rPr>
              <w:t>委托</w:t>
            </w:r>
            <w:r>
              <w:rPr>
                <w:rFonts w:hint="eastAsia"/>
              </w:rPr>
              <w:t>宿迁宇新固体废物处置有限公司</w:t>
            </w:r>
            <w:r>
              <w:rPr>
                <w:rFonts w:hint="eastAsia"/>
                <w:lang w:val="en-US" w:eastAsia="zh-CN"/>
              </w:rPr>
              <w:t>处置</w:t>
            </w:r>
          </w:p>
        </w:tc>
      </w:tr>
      <w:tr w14:paraId="0F79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53" w:type="pct"/>
            <w:shd w:val="clear" w:color="auto" w:fill="auto"/>
            <w:vAlign w:val="center"/>
          </w:tcPr>
          <w:p w14:paraId="2A65EFD2">
            <w:pPr>
              <w:pStyle w:val="45"/>
              <w:bidi w:val="0"/>
              <w:rPr>
                <w:rFonts w:hint="eastAsia"/>
              </w:rPr>
            </w:pPr>
            <w:r>
              <w:rPr>
                <w:rFonts w:hint="eastAsia"/>
                <w:lang w:val="en-US" w:eastAsia="zh-CN"/>
              </w:rPr>
              <w:t>22</w:t>
            </w:r>
          </w:p>
        </w:tc>
        <w:tc>
          <w:tcPr>
            <w:tcW w:w="502" w:type="pct"/>
            <w:shd w:val="clear" w:color="auto" w:fill="auto"/>
            <w:vAlign w:val="center"/>
          </w:tcPr>
          <w:p w14:paraId="6694B81E">
            <w:pPr>
              <w:pStyle w:val="45"/>
              <w:bidi w:val="0"/>
              <w:rPr>
                <w:rFonts w:hint="eastAsia"/>
              </w:rPr>
            </w:pPr>
            <w:r>
              <w:rPr>
                <w:rFonts w:hint="eastAsia"/>
                <w:lang w:val="en-US" w:eastAsia="zh-CN"/>
              </w:rPr>
              <w:t>（VDF）F142b精馏废液</w:t>
            </w:r>
          </w:p>
        </w:tc>
        <w:tc>
          <w:tcPr>
            <w:tcW w:w="521" w:type="pct"/>
            <w:shd w:val="clear" w:color="auto" w:fill="auto"/>
            <w:vAlign w:val="center"/>
          </w:tcPr>
          <w:p w14:paraId="347F8C32">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61885524">
            <w:pPr>
              <w:pStyle w:val="45"/>
              <w:bidi w:val="0"/>
              <w:rPr>
                <w:rFonts w:hint="eastAsia"/>
              </w:rPr>
            </w:pPr>
            <w:r>
              <w:rPr>
                <w:rFonts w:hint="eastAsia"/>
                <w:lang w:val="en-US" w:eastAsia="zh-CN"/>
              </w:rPr>
              <w:t>261-084-45</w:t>
            </w:r>
          </w:p>
        </w:tc>
        <w:tc>
          <w:tcPr>
            <w:tcW w:w="646" w:type="pct"/>
            <w:shd w:val="clear" w:color="auto" w:fill="auto"/>
            <w:vAlign w:val="center"/>
          </w:tcPr>
          <w:p w14:paraId="41820C14">
            <w:pPr>
              <w:pStyle w:val="45"/>
              <w:bidi w:val="0"/>
              <w:rPr>
                <w:rFonts w:hint="eastAsia"/>
              </w:rPr>
            </w:pPr>
            <w:r>
              <w:rPr>
                <w:rFonts w:hint="eastAsia"/>
                <w:lang w:val="en-US" w:eastAsia="zh-CN"/>
              </w:rPr>
              <w:t>VDF生产线（精馏）</w:t>
            </w:r>
          </w:p>
        </w:tc>
        <w:tc>
          <w:tcPr>
            <w:tcW w:w="370" w:type="pct"/>
            <w:shd w:val="clear" w:color="auto" w:fill="auto"/>
            <w:vAlign w:val="center"/>
          </w:tcPr>
          <w:p w14:paraId="78F6995B">
            <w:pPr>
              <w:pStyle w:val="45"/>
              <w:bidi w:val="0"/>
              <w:rPr>
                <w:rFonts w:hint="eastAsia"/>
              </w:rPr>
            </w:pPr>
            <w:r>
              <w:rPr>
                <w:rFonts w:hint="eastAsia"/>
                <w:lang w:val="en-US" w:eastAsia="zh-CN"/>
              </w:rPr>
              <w:t>液体</w:t>
            </w:r>
          </w:p>
        </w:tc>
        <w:tc>
          <w:tcPr>
            <w:tcW w:w="377" w:type="pct"/>
            <w:shd w:val="clear" w:color="auto" w:fill="auto"/>
            <w:vAlign w:val="center"/>
          </w:tcPr>
          <w:p w14:paraId="474AB770">
            <w:pPr>
              <w:pStyle w:val="45"/>
              <w:bidi w:val="0"/>
              <w:rPr>
                <w:rFonts w:hint="default"/>
                <w:lang w:val="en-US" w:eastAsia="zh-CN"/>
              </w:rPr>
            </w:pPr>
            <w:r>
              <w:rPr>
                <w:rFonts w:hint="eastAsia"/>
                <w:lang w:val="en-US" w:eastAsia="zh-CN"/>
              </w:rPr>
              <w:t>30</w:t>
            </w:r>
          </w:p>
        </w:tc>
        <w:tc>
          <w:tcPr>
            <w:tcW w:w="587" w:type="pct"/>
            <w:shd w:val="clear" w:color="auto" w:fill="auto"/>
            <w:vAlign w:val="center"/>
          </w:tcPr>
          <w:p w14:paraId="7FC43C92">
            <w:pPr>
              <w:pStyle w:val="45"/>
              <w:bidi w:val="0"/>
              <w:rPr>
                <w:rFonts w:hint="eastAsia"/>
              </w:rPr>
            </w:pPr>
            <w:r>
              <w:rPr>
                <w:rFonts w:hint="eastAsia"/>
                <w:lang w:val="en-US" w:eastAsia="zh-CN"/>
              </w:rPr>
              <w:t>F142b、F142等</w:t>
            </w:r>
          </w:p>
        </w:tc>
        <w:tc>
          <w:tcPr>
            <w:tcW w:w="495" w:type="pct"/>
            <w:shd w:val="clear" w:color="auto" w:fill="auto"/>
            <w:vAlign w:val="center"/>
          </w:tcPr>
          <w:p w14:paraId="6340D600">
            <w:pPr>
              <w:pStyle w:val="45"/>
              <w:bidi w:val="0"/>
              <w:rPr>
                <w:rFonts w:hint="eastAsia"/>
              </w:rPr>
            </w:pPr>
            <w:r>
              <w:rPr>
                <w:rFonts w:hint="eastAsia"/>
                <w:lang w:val="en-US" w:eastAsia="zh-CN"/>
              </w:rPr>
              <w:t>F142b、F142</w:t>
            </w:r>
          </w:p>
        </w:tc>
        <w:tc>
          <w:tcPr>
            <w:tcW w:w="738" w:type="pct"/>
            <w:shd w:val="clear" w:color="auto" w:fill="auto"/>
            <w:vAlign w:val="center"/>
          </w:tcPr>
          <w:p w14:paraId="78D79FCD">
            <w:pPr>
              <w:pStyle w:val="45"/>
              <w:bidi w:val="0"/>
              <w:rPr>
                <w:rFonts w:hint="eastAsia"/>
              </w:rPr>
            </w:pPr>
            <w:r>
              <w:rPr>
                <w:rFonts w:hint="eastAsia"/>
                <w:lang w:val="en-US" w:eastAsia="zh-CN"/>
              </w:rPr>
              <w:t>委托</w:t>
            </w:r>
            <w:r>
              <w:rPr>
                <w:rFonts w:hint="eastAsia"/>
              </w:rPr>
              <w:t>宿迁宇新固体废物处置有限公司</w:t>
            </w:r>
            <w:r>
              <w:rPr>
                <w:rFonts w:hint="eastAsia"/>
                <w:lang w:val="en-US" w:eastAsia="zh-CN"/>
              </w:rPr>
              <w:t>处置</w:t>
            </w:r>
          </w:p>
        </w:tc>
      </w:tr>
      <w:tr w14:paraId="2745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53" w:type="pct"/>
            <w:shd w:val="clear" w:color="auto" w:fill="auto"/>
            <w:vAlign w:val="center"/>
          </w:tcPr>
          <w:p w14:paraId="4E325BDE">
            <w:pPr>
              <w:pStyle w:val="45"/>
              <w:bidi w:val="0"/>
              <w:rPr>
                <w:rFonts w:hint="eastAsia"/>
              </w:rPr>
            </w:pPr>
            <w:r>
              <w:rPr>
                <w:rFonts w:hint="eastAsia"/>
                <w:lang w:val="en-US" w:eastAsia="zh-CN"/>
              </w:rPr>
              <w:t>23</w:t>
            </w:r>
          </w:p>
        </w:tc>
        <w:tc>
          <w:tcPr>
            <w:tcW w:w="502" w:type="pct"/>
            <w:shd w:val="clear" w:color="auto" w:fill="auto"/>
            <w:vAlign w:val="center"/>
          </w:tcPr>
          <w:p w14:paraId="5D2092CC">
            <w:pPr>
              <w:pStyle w:val="45"/>
              <w:bidi w:val="0"/>
              <w:rPr>
                <w:rFonts w:hint="eastAsia"/>
              </w:rPr>
            </w:pPr>
            <w:r>
              <w:rPr>
                <w:rFonts w:hint="eastAsia"/>
                <w:lang w:val="en-US" w:eastAsia="zh-CN"/>
              </w:rPr>
              <w:t>VDF粗馏精馏废液</w:t>
            </w:r>
          </w:p>
        </w:tc>
        <w:tc>
          <w:tcPr>
            <w:tcW w:w="521" w:type="pct"/>
            <w:shd w:val="clear" w:color="auto" w:fill="auto"/>
            <w:vAlign w:val="center"/>
          </w:tcPr>
          <w:p w14:paraId="05A5C026">
            <w:pPr>
              <w:pStyle w:val="45"/>
              <w:bidi w:val="0"/>
              <w:rPr>
                <w:rFonts w:hint="eastAsia"/>
              </w:rPr>
            </w:pPr>
            <w:r>
              <w:rPr>
                <w:rFonts w:hint="eastAsia"/>
                <w:lang w:val="en-US" w:eastAsia="zh-CN"/>
              </w:rPr>
              <w:t>HW45含有机卤化物废物</w:t>
            </w:r>
          </w:p>
        </w:tc>
        <w:tc>
          <w:tcPr>
            <w:tcW w:w="506" w:type="pct"/>
            <w:shd w:val="clear" w:color="auto" w:fill="auto"/>
            <w:vAlign w:val="center"/>
          </w:tcPr>
          <w:p w14:paraId="4CA41FF1">
            <w:pPr>
              <w:pStyle w:val="45"/>
              <w:bidi w:val="0"/>
              <w:rPr>
                <w:rFonts w:hint="eastAsia"/>
              </w:rPr>
            </w:pPr>
            <w:r>
              <w:rPr>
                <w:rFonts w:hint="eastAsia"/>
                <w:lang w:val="en-US" w:eastAsia="zh-CN"/>
              </w:rPr>
              <w:t>261-084-45</w:t>
            </w:r>
          </w:p>
        </w:tc>
        <w:tc>
          <w:tcPr>
            <w:tcW w:w="646" w:type="pct"/>
            <w:shd w:val="clear" w:color="auto" w:fill="auto"/>
            <w:vAlign w:val="center"/>
          </w:tcPr>
          <w:p w14:paraId="02B1EED6">
            <w:pPr>
              <w:pStyle w:val="45"/>
              <w:bidi w:val="0"/>
              <w:rPr>
                <w:rFonts w:hint="eastAsia"/>
              </w:rPr>
            </w:pPr>
            <w:r>
              <w:rPr>
                <w:rFonts w:hint="eastAsia"/>
                <w:lang w:val="en-US" w:eastAsia="zh-CN"/>
              </w:rPr>
              <w:t>VDF生产线（粗馏精馏）</w:t>
            </w:r>
          </w:p>
        </w:tc>
        <w:tc>
          <w:tcPr>
            <w:tcW w:w="370" w:type="pct"/>
            <w:shd w:val="clear" w:color="auto" w:fill="auto"/>
            <w:vAlign w:val="center"/>
          </w:tcPr>
          <w:p w14:paraId="0383E5B7">
            <w:pPr>
              <w:pStyle w:val="45"/>
              <w:bidi w:val="0"/>
              <w:rPr>
                <w:rFonts w:hint="eastAsia"/>
              </w:rPr>
            </w:pPr>
            <w:r>
              <w:rPr>
                <w:rFonts w:hint="eastAsia"/>
                <w:lang w:val="en-US" w:eastAsia="zh-CN"/>
              </w:rPr>
              <w:t>液体</w:t>
            </w:r>
          </w:p>
        </w:tc>
        <w:tc>
          <w:tcPr>
            <w:tcW w:w="377" w:type="pct"/>
            <w:shd w:val="clear" w:color="auto" w:fill="auto"/>
            <w:vAlign w:val="center"/>
          </w:tcPr>
          <w:p w14:paraId="55E612E5">
            <w:pPr>
              <w:pStyle w:val="45"/>
              <w:bidi w:val="0"/>
              <w:rPr>
                <w:rFonts w:hint="default"/>
                <w:lang w:val="en-US" w:eastAsia="zh-CN"/>
              </w:rPr>
            </w:pPr>
            <w:r>
              <w:rPr>
                <w:rFonts w:hint="eastAsia"/>
                <w:lang w:val="en-US" w:eastAsia="zh-CN"/>
              </w:rPr>
              <w:t>80</w:t>
            </w:r>
          </w:p>
        </w:tc>
        <w:tc>
          <w:tcPr>
            <w:tcW w:w="587" w:type="pct"/>
            <w:shd w:val="clear" w:color="auto" w:fill="auto"/>
            <w:vAlign w:val="center"/>
          </w:tcPr>
          <w:p w14:paraId="46E89FE2">
            <w:pPr>
              <w:pStyle w:val="45"/>
              <w:bidi w:val="0"/>
              <w:rPr>
                <w:rFonts w:hint="eastAsia"/>
              </w:rPr>
            </w:pPr>
            <w:r>
              <w:rPr>
                <w:rFonts w:hint="eastAsia"/>
                <w:lang w:val="en-US" w:eastAsia="zh-CN"/>
              </w:rPr>
              <w:t>F112、HB、F122、F142、水 等</w:t>
            </w:r>
          </w:p>
        </w:tc>
        <w:tc>
          <w:tcPr>
            <w:tcW w:w="495" w:type="pct"/>
            <w:shd w:val="clear" w:color="auto" w:fill="auto"/>
            <w:vAlign w:val="center"/>
          </w:tcPr>
          <w:p w14:paraId="21CD577B">
            <w:pPr>
              <w:pStyle w:val="45"/>
              <w:bidi w:val="0"/>
              <w:rPr>
                <w:rFonts w:hint="eastAsia"/>
              </w:rPr>
            </w:pPr>
            <w:r>
              <w:rPr>
                <w:rFonts w:hint="eastAsia"/>
                <w:lang w:val="en-US" w:eastAsia="zh-CN"/>
              </w:rPr>
              <w:t>F112、HB、F122、F142</w:t>
            </w:r>
          </w:p>
        </w:tc>
        <w:tc>
          <w:tcPr>
            <w:tcW w:w="738" w:type="pct"/>
            <w:shd w:val="clear" w:color="auto" w:fill="auto"/>
            <w:vAlign w:val="center"/>
          </w:tcPr>
          <w:p w14:paraId="2095804D">
            <w:pPr>
              <w:pStyle w:val="45"/>
              <w:bidi w:val="0"/>
              <w:rPr>
                <w:rFonts w:hint="eastAsia"/>
              </w:rPr>
            </w:pPr>
            <w:r>
              <w:rPr>
                <w:rFonts w:hint="eastAsia"/>
                <w:lang w:val="en-US" w:eastAsia="zh-CN"/>
              </w:rPr>
              <w:t>宿迁宇新固体废物处置有限公司</w:t>
            </w:r>
          </w:p>
        </w:tc>
      </w:tr>
      <w:tr w14:paraId="64FA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53" w:type="pct"/>
            <w:shd w:val="clear" w:color="auto" w:fill="auto"/>
            <w:vAlign w:val="center"/>
          </w:tcPr>
          <w:p w14:paraId="3ED04F49">
            <w:pPr>
              <w:pStyle w:val="45"/>
              <w:bidi w:val="0"/>
              <w:rPr>
                <w:rFonts w:hint="eastAsia"/>
              </w:rPr>
            </w:pPr>
            <w:r>
              <w:rPr>
                <w:rFonts w:hint="eastAsia"/>
                <w:lang w:val="en-US" w:eastAsia="zh-CN"/>
              </w:rPr>
              <w:t>24</w:t>
            </w:r>
          </w:p>
        </w:tc>
        <w:tc>
          <w:tcPr>
            <w:tcW w:w="502" w:type="pct"/>
            <w:shd w:val="clear" w:color="auto" w:fill="auto"/>
            <w:vAlign w:val="center"/>
          </w:tcPr>
          <w:p w14:paraId="1CA12691">
            <w:pPr>
              <w:pStyle w:val="45"/>
              <w:bidi w:val="0"/>
              <w:rPr>
                <w:rFonts w:hint="eastAsia"/>
              </w:rPr>
            </w:pPr>
            <w:r>
              <w:rPr>
                <w:rFonts w:hint="eastAsia"/>
                <w:lang w:val="en-US" w:eastAsia="zh-CN"/>
              </w:rPr>
              <w:t>废活性炭2</w:t>
            </w:r>
          </w:p>
        </w:tc>
        <w:tc>
          <w:tcPr>
            <w:tcW w:w="521" w:type="pct"/>
            <w:shd w:val="clear" w:color="auto" w:fill="auto"/>
            <w:vAlign w:val="center"/>
          </w:tcPr>
          <w:p w14:paraId="2B0362C2">
            <w:pPr>
              <w:pStyle w:val="45"/>
              <w:bidi w:val="0"/>
              <w:rPr>
                <w:rFonts w:hint="eastAsia"/>
              </w:rPr>
            </w:pPr>
            <w:r>
              <w:rPr>
                <w:rFonts w:hint="eastAsia"/>
                <w:lang w:val="en-US" w:eastAsia="zh-CN"/>
              </w:rPr>
              <w:t xml:space="preserve">HW18 </w:t>
            </w:r>
            <w:r>
              <w:rPr>
                <w:rFonts w:hint="eastAsia"/>
                <w:lang w:val="en-US" w:eastAsia="zh-CN"/>
              </w:rPr>
              <w:br w:type="textWrapping"/>
            </w:r>
            <w:r>
              <w:rPr>
                <w:rFonts w:hint="eastAsia"/>
                <w:lang w:val="en-US" w:eastAsia="zh-CN"/>
              </w:rPr>
              <w:t>焚烧处置残渣</w:t>
            </w:r>
          </w:p>
        </w:tc>
        <w:tc>
          <w:tcPr>
            <w:tcW w:w="506" w:type="pct"/>
            <w:shd w:val="clear" w:color="auto" w:fill="auto"/>
            <w:vAlign w:val="center"/>
          </w:tcPr>
          <w:p w14:paraId="5F791982">
            <w:pPr>
              <w:pStyle w:val="45"/>
              <w:bidi w:val="0"/>
              <w:rPr>
                <w:rFonts w:hint="eastAsia"/>
              </w:rPr>
            </w:pPr>
            <w:r>
              <w:rPr>
                <w:rFonts w:hint="eastAsia"/>
                <w:lang w:val="en-US" w:eastAsia="zh-CN"/>
              </w:rPr>
              <w:t>772-005-18</w:t>
            </w:r>
          </w:p>
        </w:tc>
        <w:tc>
          <w:tcPr>
            <w:tcW w:w="646" w:type="pct"/>
            <w:shd w:val="clear" w:color="auto" w:fill="auto"/>
            <w:vAlign w:val="center"/>
          </w:tcPr>
          <w:p w14:paraId="4122784E">
            <w:pPr>
              <w:pStyle w:val="45"/>
              <w:bidi w:val="0"/>
              <w:rPr>
                <w:rFonts w:hint="eastAsia"/>
              </w:rPr>
            </w:pPr>
            <w:r>
              <w:rPr>
                <w:rFonts w:hint="eastAsia"/>
                <w:lang w:val="en-US" w:eastAsia="zh-CN"/>
              </w:rPr>
              <w:t>焚烧烟气吸附过程中产生的废活性炭</w:t>
            </w:r>
          </w:p>
        </w:tc>
        <w:tc>
          <w:tcPr>
            <w:tcW w:w="370" w:type="pct"/>
            <w:shd w:val="clear" w:color="auto" w:fill="auto"/>
            <w:vAlign w:val="center"/>
          </w:tcPr>
          <w:p w14:paraId="39FA98EB">
            <w:pPr>
              <w:pStyle w:val="45"/>
              <w:bidi w:val="0"/>
              <w:rPr>
                <w:rFonts w:hint="eastAsia"/>
              </w:rPr>
            </w:pPr>
            <w:r>
              <w:rPr>
                <w:rFonts w:hint="eastAsia"/>
                <w:lang w:val="en-US" w:eastAsia="zh-CN"/>
              </w:rPr>
              <w:t>固体</w:t>
            </w:r>
          </w:p>
        </w:tc>
        <w:tc>
          <w:tcPr>
            <w:tcW w:w="377" w:type="pct"/>
            <w:shd w:val="clear" w:color="auto" w:fill="auto"/>
            <w:vAlign w:val="center"/>
          </w:tcPr>
          <w:p w14:paraId="5415E361">
            <w:pPr>
              <w:pStyle w:val="45"/>
              <w:bidi w:val="0"/>
              <w:rPr>
                <w:rFonts w:hint="default"/>
                <w:lang w:val="en-US" w:eastAsia="zh-CN"/>
              </w:rPr>
            </w:pPr>
            <w:r>
              <w:rPr>
                <w:rFonts w:hint="eastAsia"/>
                <w:lang w:val="en-US" w:eastAsia="zh-CN"/>
              </w:rPr>
              <w:t>1</w:t>
            </w:r>
          </w:p>
        </w:tc>
        <w:tc>
          <w:tcPr>
            <w:tcW w:w="587" w:type="pct"/>
            <w:shd w:val="clear" w:color="auto" w:fill="auto"/>
            <w:vAlign w:val="center"/>
          </w:tcPr>
          <w:p w14:paraId="0981C870">
            <w:pPr>
              <w:pStyle w:val="45"/>
              <w:bidi w:val="0"/>
              <w:rPr>
                <w:rFonts w:hint="eastAsia"/>
              </w:rPr>
            </w:pPr>
            <w:r>
              <w:rPr>
                <w:rFonts w:hint="eastAsia"/>
                <w:lang w:val="en-US" w:eastAsia="zh-CN"/>
              </w:rPr>
              <w:t>活性炭、二噁英</w:t>
            </w:r>
          </w:p>
        </w:tc>
        <w:tc>
          <w:tcPr>
            <w:tcW w:w="495" w:type="pct"/>
            <w:shd w:val="clear" w:color="auto" w:fill="auto"/>
            <w:vAlign w:val="center"/>
          </w:tcPr>
          <w:p w14:paraId="7E70CF26">
            <w:pPr>
              <w:pStyle w:val="45"/>
              <w:bidi w:val="0"/>
              <w:rPr>
                <w:rFonts w:hint="eastAsia"/>
              </w:rPr>
            </w:pPr>
            <w:r>
              <w:rPr>
                <w:rFonts w:hint="eastAsia"/>
                <w:lang w:val="en-US" w:eastAsia="zh-CN"/>
              </w:rPr>
              <w:t>二噁英</w:t>
            </w:r>
          </w:p>
        </w:tc>
        <w:tc>
          <w:tcPr>
            <w:tcW w:w="738" w:type="pct"/>
            <w:shd w:val="clear" w:color="auto" w:fill="auto"/>
            <w:vAlign w:val="center"/>
          </w:tcPr>
          <w:p w14:paraId="2570C017">
            <w:pPr>
              <w:pStyle w:val="45"/>
              <w:bidi w:val="0"/>
              <w:rPr>
                <w:rFonts w:hint="eastAsia"/>
              </w:rPr>
            </w:pPr>
            <w:r>
              <w:rPr>
                <w:rFonts w:hint="eastAsia"/>
                <w:lang w:val="en-US" w:eastAsia="zh-CN"/>
              </w:rPr>
              <w:t>光大绿色环保固废处置（张家港）有限公司</w:t>
            </w:r>
          </w:p>
        </w:tc>
      </w:tr>
      <w:tr w14:paraId="4CC8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253" w:type="pct"/>
            <w:shd w:val="clear" w:color="auto" w:fill="auto"/>
            <w:vAlign w:val="center"/>
          </w:tcPr>
          <w:p w14:paraId="6EC5AE38">
            <w:pPr>
              <w:pStyle w:val="45"/>
              <w:bidi w:val="0"/>
              <w:rPr>
                <w:rFonts w:hint="default"/>
                <w:lang w:val="en-US" w:eastAsia="zh-CN"/>
              </w:rPr>
            </w:pPr>
            <w:r>
              <w:rPr>
                <w:rFonts w:hint="eastAsia"/>
                <w:lang w:val="en-US" w:eastAsia="zh-CN"/>
              </w:rPr>
              <w:t>25</w:t>
            </w:r>
          </w:p>
        </w:tc>
        <w:tc>
          <w:tcPr>
            <w:tcW w:w="502" w:type="pct"/>
            <w:shd w:val="clear" w:color="auto" w:fill="auto"/>
            <w:vAlign w:val="center"/>
          </w:tcPr>
          <w:p w14:paraId="1E7FA44D">
            <w:pPr>
              <w:pStyle w:val="45"/>
              <w:bidi w:val="0"/>
            </w:pPr>
            <w:r>
              <w:t>办公废物</w:t>
            </w:r>
          </w:p>
          <w:p w14:paraId="04253929">
            <w:pPr>
              <w:pStyle w:val="45"/>
              <w:bidi w:val="0"/>
              <w:rPr>
                <w:rFonts w:hint="eastAsia"/>
                <w:lang w:val="en-US" w:eastAsia="zh-CN"/>
              </w:rPr>
            </w:pPr>
            <w:r>
              <w:t>（生活垃圾）</w:t>
            </w:r>
          </w:p>
        </w:tc>
        <w:tc>
          <w:tcPr>
            <w:tcW w:w="521" w:type="pct"/>
            <w:shd w:val="clear" w:color="auto" w:fill="auto"/>
            <w:vAlign w:val="center"/>
          </w:tcPr>
          <w:p w14:paraId="323A1CEC">
            <w:pPr>
              <w:pStyle w:val="45"/>
              <w:bidi w:val="0"/>
              <w:rPr>
                <w:rFonts w:hint="default"/>
                <w:lang w:val="en-US" w:eastAsia="zh-CN"/>
              </w:rPr>
            </w:pPr>
            <w:r>
              <w:rPr>
                <w:rFonts w:hint="eastAsia"/>
                <w:lang w:val="en-US" w:eastAsia="zh-CN"/>
              </w:rPr>
              <w:t>/</w:t>
            </w:r>
          </w:p>
        </w:tc>
        <w:tc>
          <w:tcPr>
            <w:tcW w:w="506" w:type="pct"/>
            <w:shd w:val="clear" w:color="auto" w:fill="auto"/>
            <w:vAlign w:val="center"/>
          </w:tcPr>
          <w:p w14:paraId="050F7929">
            <w:pPr>
              <w:pStyle w:val="45"/>
              <w:bidi w:val="0"/>
              <w:rPr>
                <w:rFonts w:hint="default"/>
                <w:lang w:val="en-US" w:eastAsia="zh-CN"/>
              </w:rPr>
            </w:pPr>
            <w:r>
              <w:rPr>
                <w:rFonts w:hint="eastAsia"/>
                <w:lang w:val="en-US" w:eastAsia="zh-CN"/>
              </w:rPr>
              <w:t>/</w:t>
            </w:r>
          </w:p>
        </w:tc>
        <w:tc>
          <w:tcPr>
            <w:tcW w:w="646" w:type="pct"/>
            <w:shd w:val="clear" w:color="auto" w:fill="auto"/>
            <w:vAlign w:val="center"/>
          </w:tcPr>
          <w:p w14:paraId="41A77AB4">
            <w:pPr>
              <w:pStyle w:val="45"/>
              <w:bidi w:val="0"/>
              <w:rPr>
                <w:rFonts w:hint="default"/>
                <w:lang w:val="en-US" w:eastAsia="zh-CN"/>
              </w:rPr>
            </w:pPr>
            <w:r>
              <w:rPr>
                <w:rFonts w:hint="eastAsia"/>
                <w:lang w:val="en-US" w:eastAsia="zh-CN"/>
              </w:rPr>
              <w:t>办公、生活</w:t>
            </w:r>
          </w:p>
        </w:tc>
        <w:tc>
          <w:tcPr>
            <w:tcW w:w="370" w:type="pct"/>
            <w:shd w:val="clear" w:color="auto" w:fill="auto"/>
            <w:vAlign w:val="center"/>
          </w:tcPr>
          <w:p w14:paraId="4F6D049A">
            <w:pPr>
              <w:pStyle w:val="45"/>
              <w:bidi w:val="0"/>
              <w:rPr>
                <w:rFonts w:hint="default"/>
                <w:lang w:val="en-US" w:eastAsia="zh-CN"/>
              </w:rPr>
            </w:pPr>
            <w:r>
              <w:rPr>
                <w:rFonts w:hint="eastAsia"/>
                <w:lang w:val="en-US" w:eastAsia="zh-CN"/>
              </w:rPr>
              <w:t>固体</w:t>
            </w:r>
          </w:p>
        </w:tc>
        <w:tc>
          <w:tcPr>
            <w:tcW w:w="377" w:type="pct"/>
            <w:shd w:val="clear" w:color="auto" w:fill="auto"/>
            <w:vAlign w:val="center"/>
          </w:tcPr>
          <w:p w14:paraId="2C40A3AF">
            <w:pPr>
              <w:pStyle w:val="45"/>
              <w:bidi w:val="0"/>
              <w:rPr>
                <w:rFonts w:hint="default"/>
                <w:lang w:val="en-US" w:eastAsia="zh-CN"/>
              </w:rPr>
            </w:pPr>
            <w:r>
              <w:rPr>
                <w:rFonts w:hint="eastAsia"/>
                <w:lang w:val="en-US" w:eastAsia="zh-CN"/>
              </w:rPr>
              <w:t>105</w:t>
            </w:r>
          </w:p>
        </w:tc>
        <w:tc>
          <w:tcPr>
            <w:tcW w:w="587" w:type="pct"/>
            <w:shd w:val="clear" w:color="auto" w:fill="auto"/>
            <w:vAlign w:val="center"/>
          </w:tcPr>
          <w:p w14:paraId="1931461D">
            <w:pPr>
              <w:pStyle w:val="45"/>
              <w:bidi w:val="0"/>
              <w:rPr>
                <w:rFonts w:hint="default"/>
                <w:lang w:val="en-US" w:eastAsia="zh-CN"/>
              </w:rPr>
            </w:pPr>
            <w:r>
              <w:rPr>
                <w:rFonts w:hint="eastAsia"/>
                <w:lang w:val="en-US" w:eastAsia="zh-CN"/>
              </w:rPr>
              <w:t>/</w:t>
            </w:r>
          </w:p>
        </w:tc>
        <w:tc>
          <w:tcPr>
            <w:tcW w:w="495" w:type="pct"/>
            <w:shd w:val="clear" w:color="auto" w:fill="auto"/>
            <w:vAlign w:val="center"/>
          </w:tcPr>
          <w:p w14:paraId="0418BF36">
            <w:pPr>
              <w:pStyle w:val="45"/>
              <w:bidi w:val="0"/>
              <w:rPr>
                <w:rFonts w:hint="default"/>
                <w:lang w:val="en-US" w:eastAsia="zh-CN"/>
              </w:rPr>
            </w:pPr>
            <w:r>
              <w:rPr>
                <w:rFonts w:hint="eastAsia"/>
                <w:lang w:val="en-US" w:eastAsia="zh-CN"/>
              </w:rPr>
              <w:t>/</w:t>
            </w:r>
          </w:p>
        </w:tc>
        <w:tc>
          <w:tcPr>
            <w:tcW w:w="738" w:type="pct"/>
            <w:shd w:val="clear" w:color="auto" w:fill="auto"/>
            <w:vAlign w:val="center"/>
          </w:tcPr>
          <w:p w14:paraId="3C9C9489">
            <w:pPr>
              <w:pStyle w:val="45"/>
              <w:bidi w:val="0"/>
              <w:rPr>
                <w:rFonts w:hint="eastAsia"/>
                <w:lang w:val="en-US" w:eastAsia="zh-CN"/>
              </w:rPr>
            </w:pPr>
            <w:r>
              <w:t>环卫清运</w:t>
            </w:r>
          </w:p>
        </w:tc>
      </w:tr>
    </w:tbl>
    <w:p w14:paraId="2056EC3B">
      <w:pPr>
        <w:bidi w:val="0"/>
        <w:rPr>
          <w:rFonts w:hint="default"/>
          <w:lang w:val="en-US" w:eastAsia="zh-CN"/>
        </w:rPr>
        <w:sectPr>
          <w:pgSz w:w="16838" w:h="11906" w:orient="landscape"/>
          <w:pgMar w:top="1797" w:right="1440" w:bottom="1797" w:left="1440" w:header="851" w:footer="992" w:gutter="0"/>
          <w:pgNumType w:fmt="decimal"/>
          <w:cols w:space="425" w:num="1"/>
          <w:docGrid w:type="lines" w:linePitch="312" w:charSpace="0"/>
        </w:sectPr>
      </w:pPr>
    </w:p>
    <w:p w14:paraId="551DDB18">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1.1.1.3 企业</w:t>
      </w:r>
      <w:r>
        <w:rPr>
          <w:rFonts w:hint="default" w:ascii="Times New Roman" w:hAnsi="Times New Roman" w:cs="Times New Roman"/>
          <w:color w:val="auto"/>
          <w:highlight w:val="none"/>
        </w:rPr>
        <w:t>项目原辅材料消耗</w:t>
      </w:r>
    </w:p>
    <w:p w14:paraId="5BD54E7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三爱富公司</w:t>
      </w:r>
      <w:r>
        <w:rPr>
          <w:rFonts w:hint="default" w:ascii="Times New Roman" w:hAnsi="Times New Roman" w:cs="Times New Roman"/>
          <w:color w:val="auto"/>
          <w:highlight w:val="none"/>
          <w:lang w:val="zh-CN"/>
        </w:rPr>
        <w:t>项目</w:t>
      </w:r>
      <w:r>
        <w:rPr>
          <w:rFonts w:hint="default" w:ascii="Times New Roman" w:hAnsi="Times New Roman" w:cs="Times New Roman"/>
          <w:color w:val="auto"/>
          <w:highlight w:val="none"/>
        </w:rPr>
        <w:t>主要原辅材料见下表。</w:t>
      </w:r>
    </w:p>
    <w:p w14:paraId="1C2723CE">
      <w:pPr>
        <w:pStyle w:val="46"/>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1.1-</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 xml:space="preserve"> 主要原辅料</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2024年</w:t>
      </w:r>
      <w:r>
        <w:rPr>
          <w:rFonts w:hint="eastAsia" w:ascii="Times New Roman" w:hAnsi="Times New Roman" w:cs="Times New Roman"/>
          <w:color w:val="auto"/>
          <w:highlight w:val="none"/>
          <w:lang w:eastAsia="zh-CN"/>
        </w:rPr>
        <w:t>）</w:t>
      </w:r>
    </w:p>
    <w:tbl>
      <w:tblPr>
        <w:tblStyle w:val="29"/>
        <w:tblW w:w="6012" w:type="pct"/>
        <w:jc w:val="center"/>
        <w:tblLayout w:type="autofit"/>
        <w:tblCellMar>
          <w:top w:w="0" w:type="dxa"/>
          <w:left w:w="0" w:type="dxa"/>
          <w:bottom w:w="0" w:type="dxa"/>
          <w:right w:w="0" w:type="dxa"/>
        </w:tblCellMar>
      </w:tblPr>
      <w:tblGrid>
        <w:gridCol w:w="1059"/>
        <w:gridCol w:w="1175"/>
        <w:gridCol w:w="2621"/>
        <w:gridCol w:w="1794"/>
        <w:gridCol w:w="1678"/>
        <w:gridCol w:w="1679"/>
      </w:tblGrid>
      <w:tr w14:paraId="5A175494">
        <w:tblPrEx>
          <w:tblCellMar>
            <w:top w:w="0" w:type="dxa"/>
            <w:left w:w="0" w:type="dxa"/>
            <w:bottom w:w="0" w:type="dxa"/>
            <w:right w:w="0" w:type="dxa"/>
          </w:tblCellMar>
        </w:tblPrEx>
        <w:trPr>
          <w:trHeight w:val="340" w:hRule="atLeast"/>
          <w:tblHeader/>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64978F4E">
            <w:pPr>
              <w:pStyle w:val="45"/>
              <w:bidi w:val="0"/>
              <w:rPr>
                <w:rFonts w:hint="default"/>
              </w:rPr>
            </w:pPr>
            <w:r>
              <w:rPr>
                <w:rFonts w:hint="default"/>
              </w:rPr>
              <w:t>序号</w:t>
            </w:r>
          </w:p>
        </w:tc>
        <w:tc>
          <w:tcPr>
            <w:tcW w:w="587" w:type="pct"/>
            <w:tcBorders>
              <w:top w:val="single" w:color="000000" w:sz="4" w:space="0"/>
              <w:left w:val="single" w:color="000000" w:sz="4" w:space="0"/>
              <w:bottom w:val="single" w:color="000000" w:sz="4" w:space="0"/>
              <w:right w:val="single" w:color="000000" w:sz="4" w:space="0"/>
            </w:tcBorders>
            <w:vAlign w:val="center"/>
          </w:tcPr>
          <w:p w14:paraId="17CCE182">
            <w:pPr>
              <w:pStyle w:val="45"/>
              <w:bidi w:val="0"/>
              <w:rPr>
                <w:rFonts w:hint="default"/>
              </w:rPr>
            </w:pPr>
            <w:r>
              <w:rPr>
                <w:rFonts w:hint="default"/>
              </w:rPr>
              <w:t>产品</w:t>
            </w:r>
          </w:p>
        </w:tc>
        <w:tc>
          <w:tcPr>
            <w:tcW w:w="1309" w:type="pct"/>
            <w:tcBorders>
              <w:top w:val="single" w:color="000000" w:sz="4" w:space="0"/>
              <w:left w:val="single" w:color="000000" w:sz="4" w:space="0"/>
              <w:bottom w:val="single" w:color="000000" w:sz="4" w:space="0"/>
              <w:right w:val="single" w:color="000000" w:sz="4" w:space="0"/>
            </w:tcBorders>
            <w:vAlign w:val="center"/>
          </w:tcPr>
          <w:p w14:paraId="127F4ABB">
            <w:pPr>
              <w:pStyle w:val="45"/>
              <w:bidi w:val="0"/>
              <w:rPr>
                <w:rFonts w:hint="default"/>
              </w:rPr>
            </w:pPr>
            <w:r>
              <w:rPr>
                <w:rFonts w:hint="default"/>
              </w:rPr>
              <w:t>名称</w:t>
            </w:r>
          </w:p>
        </w:tc>
        <w:tc>
          <w:tcPr>
            <w:tcW w:w="896" w:type="pct"/>
            <w:tcBorders>
              <w:top w:val="single" w:color="000000" w:sz="4" w:space="0"/>
              <w:left w:val="single" w:color="000000" w:sz="4" w:space="0"/>
              <w:bottom w:val="single" w:color="000000" w:sz="4" w:space="0"/>
              <w:right w:val="single" w:color="000000" w:sz="4" w:space="0"/>
            </w:tcBorders>
            <w:vAlign w:val="center"/>
          </w:tcPr>
          <w:p w14:paraId="0315D5E3">
            <w:pPr>
              <w:pStyle w:val="45"/>
              <w:bidi w:val="0"/>
              <w:rPr>
                <w:rFonts w:hint="default"/>
              </w:rPr>
            </w:pPr>
            <w:r>
              <w:rPr>
                <w:rFonts w:hint="default"/>
              </w:rPr>
              <w:t>规格</w:t>
            </w:r>
          </w:p>
        </w:tc>
        <w:tc>
          <w:tcPr>
            <w:tcW w:w="838" w:type="pct"/>
            <w:tcBorders>
              <w:top w:val="single" w:color="000000" w:sz="4" w:space="0"/>
              <w:left w:val="single" w:color="000000" w:sz="4" w:space="0"/>
              <w:bottom w:val="single" w:color="000000" w:sz="4" w:space="0"/>
              <w:right w:val="single" w:color="000000" w:sz="4" w:space="0"/>
            </w:tcBorders>
            <w:vAlign w:val="center"/>
          </w:tcPr>
          <w:p w14:paraId="7E6BB1D0">
            <w:pPr>
              <w:pStyle w:val="45"/>
              <w:bidi w:val="0"/>
              <w:rPr>
                <w:rFonts w:hint="default"/>
                <w:lang w:val="en-US" w:eastAsia="zh-CN"/>
              </w:rPr>
            </w:pPr>
            <w:r>
              <w:rPr>
                <w:rFonts w:hint="eastAsia"/>
                <w:lang w:val="en-US" w:eastAsia="zh-CN"/>
              </w:rPr>
              <w:t>年使用量（吨）</w:t>
            </w:r>
          </w:p>
        </w:tc>
        <w:tc>
          <w:tcPr>
            <w:tcW w:w="838" w:type="pct"/>
            <w:tcBorders>
              <w:top w:val="single" w:color="000000" w:sz="4" w:space="0"/>
              <w:left w:val="single" w:color="000000" w:sz="4" w:space="0"/>
              <w:bottom w:val="single" w:color="000000" w:sz="4" w:space="0"/>
              <w:right w:val="single" w:color="000000" w:sz="4" w:space="0"/>
            </w:tcBorders>
            <w:vAlign w:val="center"/>
          </w:tcPr>
          <w:p w14:paraId="1088C455">
            <w:pPr>
              <w:pStyle w:val="45"/>
              <w:bidi w:val="0"/>
              <w:rPr>
                <w:rFonts w:hint="default"/>
              </w:rPr>
            </w:pPr>
            <w:r>
              <w:rPr>
                <w:rFonts w:hint="default"/>
              </w:rPr>
              <w:t>贮存方式</w:t>
            </w:r>
          </w:p>
        </w:tc>
      </w:tr>
      <w:tr w14:paraId="607C40FD">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078B4B16">
            <w:pPr>
              <w:pStyle w:val="45"/>
              <w:bidi w:val="0"/>
              <w:rPr>
                <w:rFonts w:hint="default"/>
              </w:rPr>
            </w:pPr>
            <w:r>
              <w:rPr>
                <w:rFonts w:hint="default"/>
              </w:rPr>
              <w:t>1</w:t>
            </w:r>
          </w:p>
        </w:tc>
        <w:tc>
          <w:tcPr>
            <w:tcW w:w="587" w:type="pct"/>
            <w:vMerge w:val="restart"/>
            <w:tcBorders>
              <w:top w:val="single" w:color="000000" w:sz="4" w:space="0"/>
              <w:left w:val="single" w:color="000000" w:sz="4" w:space="0"/>
              <w:right w:val="single" w:color="000000" w:sz="4" w:space="0"/>
            </w:tcBorders>
            <w:vAlign w:val="center"/>
          </w:tcPr>
          <w:p w14:paraId="34886668">
            <w:pPr>
              <w:pStyle w:val="45"/>
              <w:bidi w:val="0"/>
              <w:rPr>
                <w:rFonts w:hint="default"/>
              </w:rPr>
            </w:pPr>
            <w:r>
              <w:rPr>
                <w:rFonts w:hint="default"/>
              </w:rPr>
              <w:t>AHF</w:t>
            </w:r>
          </w:p>
        </w:tc>
        <w:tc>
          <w:tcPr>
            <w:tcW w:w="1309" w:type="pct"/>
            <w:tcBorders>
              <w:top w:val="single" w:color="000000" w:sz="4" w:space="0"/>
              <w:left w:val="single" w:color="000000" w:sz="4" w:space="0"/>
              <w:bottom w:val="single" w:color="000000" w:sz="4" w:space="0"/>
              <w:right w:val="single" w:color="000000" w:sz="4" w:space="0"/>
            </w:tcBorders>
            <w:vAlign w:val="center"/>
          </w:tcPr>
          <w:p w14:paraId="74A96E59">
            <w:pPr>
              <w:pStyle w:val="45"/>
              <w:bidi w:val="0"/>
              <w:rPr>
                <w:rFonts w:hint="default"/>
              </w:rPr>
            </w:pPr>
            <w:r>
              <w:rPr>
                <w:rFonts w:hint="default"/>
              </w:rPr>
              <w:t>萤石</w:t>
            </w:r>
          </w:p>
        </w:tc>
        <w:tc>
          <w:tcPr>
            <w:tcW w:w="896" w:type="pct"/>
            <w:tcBorders>
              <w:top w:val="single" w:color="000000" w:sz="4" w:space="0"/>
              <w:left w:val="single" w:color="000000" w:sz="4" w:space="0"/>
              <w:bottom w:val="single" w:color="000000" w:sz="4" w:space="0"/>
              <w:right w:val="single" w:color="000000" w:sz="4" w:space="0"/>
            </w:tcBorders>
            <w:vAlign w:val="center"/>
          </w:tcPr>
          <w:p w14:paraId="3511FEE2">
            <w:pPr>
              <w:pStyle w:val="45"/>
              <w:bidi w:val="0"/>
              <w:rPr>
                <w:rFonts w:hint="default"/>
              </w:rPr>
            </w:pPr>
            <w:r>
              <w:rPr>
                <w:rFonts w:hint="default"/>
              </w:rPr>
              <w:t>97％</w:t>
            </w:r>
          </w:p>
        </w:tc>
        <w:tc>
          <w:tcPr>
            <w:tcW w:w="1678" w:type="dxa"/>
            <w:tcBorders>
              <w:top w:val="single" w:color="000000" w:sz="4" w:space="0"/>
              <w:left w:val="single" w:color="000000" w:sz="4" w:space="0"/>
              <w:bottom w:val="single" w:color="000000" w:sz="4" w:space="0"/>
              <w:right w:val="single" w:color="000000" w:sz="4" w:space="0"/>
            </w:tcBorders>
            <w:vAlign w:val="center"/>
          </w:tcPr>
          <w:p w14:paraId="2D5FFE19">
            <w:pPr>
              <w:pStyle w:val="45"/>
              <w:bidi w:val="0"/>
              <w:rPr>
                <w:rFonts w:hint="default"/>
              </w:rPr>
            </w:pPr>
            <w:r>
              <w:rPr>
                <w:rFonts w:hint="eastAsia"/>
                <w:lang w:val="en-US" w:eastAsia="zh-CN"/>
              </w:rPr>
              <w:t>0</w:t>
            </w:r>
          </w:p>
        </w:tc>
        <w:tc>
          <w:tcPr>
            <w:tcW w:w="838" w:type="pct"/>
            <w:tcBorders>
              <w:top w:val="single" w:color="000000" w:sz="4" w:space="0"/>
              <w:left w:val="single" w:color="000000" w:sz="4" w:space="0"/>
              <w:bottom w:val="single" w:color="000000" w:sz="4" w:space="0"/>
              <w:right w:val="single" w:color="000000" w:sz="4" w:space="0"/>
            </w:tcBorders>
            <w:vAlign w:val="center"/>
          </w:tcPr>
          <w:p w14:paraId="446F9176">
            <w:pPr>
              <w:pStyle w:val="45"/>
              <w:bidi w:val="0"/>
              <w:rPr>
                <w:rFonts w:hint="default"/>
              </w:rPr>
            </w:pPr>
            <w:r>
              <w:rPr>
                <w:rFonts w:hint="default"/>
              </w:rPr>
              <w:t>布袋</w:t>
            </w:r>
          </w:p>
        </w:tc>
      </w:tr>
      <w:tr w14:paraId="50B91E3A">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019A532D">
            <w:pPr>
              <w:pStyle w:val="45"/>
              <w:bidi w:val="0"/>
              <w:rPr>
                <w:rFonts w:hint="default"/>
              </w:rPr>
            </w:pPr>
            <w:r>
              <w:rPr>
                <w:rFonts w:hint="default"/>
              </w:rPr>
              <w:t>2</w:t>
            </w:r>
          </w:p>
        </w:tc>
        <w:tc>
          <w:tcPr>
            <w:tcW w:w="587" w:type="pct"/>
            <w:vMerge w:val="continue"/>
            <w:tcBorders>
              <w:left w:val="single" w:color="000000" w:sz="4" w:space="0"/>
              <w:right w:val="single" w:color="000000" w:sz="4" w:space="0"/>
            </w:tcBorders>
            <w:vAlign w:val="center"/>
          </w:tcPr>
          <w:p w14:paraId="5B99622A">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2937756F">
            <w:pPr>
              <w:pStyle w:val="45"/>
              <w:bidi w:val="0"/>
              <w:rPr>
                <w:rFonts w:hint="default"/>
              </w:rPr>
            </w:pPr>
            <w:r>
              <w:rPr>
                <w:rFonts w:hint="default"/>
              </w:rPr>
              <w:t>硫酸</w:t>
            </w:r>
          </w:p>
        </w:tc>
        <w:tc>
          <w:tcPr>
            <w:tcW w:w="896" w:type="pct"/>
            <w:tcBorders>
              <w:top w:val="single" w:color="000000" w:sz="4" w:space="0"/>
              <w:left w:val="single" w:color="000000" w:sz="4" w:space="0"/>
              <w:bottom w:val="single" w:color="000000" w:sz="4" w:space="0"/>
              <w:right w:val="single" w:color="000000" w:sz="4" w:space="0"/>
            </w:tcBorders>
            <w:vAlign w:val="center"/>
          </w:tcPr>
          <w:p w14:paraId="05D42DF0">
            <w:pPr>
              <w:pStyle w:val="45"/>
              <w:bidi w:val="0"/>
              <w:rPr>
                <w:rFonts w:hint="default"/>
              </w:rPr>
            </w:pPr>
            <w:r>
              <w:rPr>
                <w:rFonts w:hint="default"/>
              </w:rPr>
              <w:t>98％</w:t>
            </w:r>
          </w:p>
        </w:tc>
        <w:tc>
          <w:tcPr>
            <w:tcW w:w="1678" w:type="dxa"/>
            <w:tcBorders>
              <w:top w:val="single" w:color="000000" w:sz="4" w:space="0"/>
              <w:left w:val="single" w:color="000000" w:sz="4" w:space="0"/>
              <w:bottom w:val="single" w:color="000000" w:sz="4" w:space="0"/>
              <w:right w:val="single" w:color="000000" w:sz="4" w:space="0"/>
            </w:tcBorders>
            <w:vAlign w:val="center"/>
          </w:tcPr>
          <w:p w14:paraId="14D9EE67">
            <w:pPr>
              <w:pStyle w:val="45"/>
              <w:bidi w:val="0"/>
              <w:rPr>
                <w:rFonts w:hint="default"/>
              </w:rPr>
            </w:pPr>
            <w:r>
              <w:rPr>
                <w:rFonts w:hint="eastAsia"/>
                <w:lang w:val="en-US" w:eastAsia="zh-CN"/>
              </w:rPr>
              <w:t>0</w:t>
            </w:r>
          </w:p>
        </w:tc>
        <w:tc>
          <w:tcPr>
            <w:tcW w:w="838" w:type="pct"/>
            <w:tcBorders>
              <w:top w:val="single" w:color="000000" w:sz="4" w:space="0"/>
              <w:left w:val="single" w:color="000000" w:sz="4" w:space="0"/>
              <w:bottom w:val="single" w:color="000000" w:sz="4" w:space="0"/>
              <w:right w:val="single" w:color="000000" w:sz="4" w:space="0"/>
            </w:tcBorders>
            <w:vAlign w:val="center"/>
          </w:tcPr>
          <w:p w14:paraId="1AF916E0">
            <w:pPr>
              <w:pStyle w:val="45"/>
              <w:bidi w:val="0"/>
              <w:rPr>
                <w:rFonts w:hint="default"/>
              </w:rPr>
            </w:pPr>
            <w:r>
              <w:rPr>
                <w:rFonts w:hint="default"/>
              </w:rPr>
              <w:t>管道</w:t>
            </w:r>
          </w:p>
        </w:tc>
      </w:tr>
      <w:tr w14:paraId="0A98EA12">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795BA8D0">
            <w:pPr>
              <w:pStyle w:val="45"/>
              <w:bidi w:val="0"/>
              <w:rPr>
                <w:rFonts w:hint="default"/>
              </w:rPr>
            </w:pPr>
            <w:r>
              <w:rPr>
                <w:rFonts w:hint="default"/>
              </w:rPr>
              <w:t>3</w:t>
            </w:r>
          </w:p>
        </w:tc>
        <w:tc>
          <w:tcPr>
            <w:tcW w:w="587" w:type="pct"/>
            <w:vMerge w:val="continue"/>
            <w:tcBorders>
              <w:left w:val="single" w:color="000000" w:sz="4" w:space="0"/>
              <w:right w:val="single" w:color="000000" w:sz="4" w:space="0"/>
            </w:tcBorders>
            <w:vAlign w:val="center"/>
          </w:tcPr>
          <w:p w14:paraId="7EC8F07E">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21A2BE83">
            <w:pPr>
              <w:pStyle w:val="45"/>
              <w:bidi w:val="0"/>
              <w:rPr>
                <w:rFonts w:hint="default"/>
              </w:rPr>
            </w:pPr>
            <w:r>
              <w:rPr>
                <w:rFonts w:hint="default"/>
              </w:rPr>
              <w:t>烟酸</w:t>
            </w:r>
          </w:p>
        </w:tc>
        <w:tc>
          <w:tcPr>
            <w:tcW w:w="896" w:type="pct"/>
            <w:tcBorders>
              <w:top w:val="single" w:color="000000" w:sz="4" w:space="0"/>
              <w:left w:val="single" w:color="000000" w:sz="4" w:space="0"/>
              <w:bottom w:val="single" w:color="000000" w:sz="4" w:space="0"/>
              <w:right w:val="single" w:color="000000" w:sz="4" w:space="0"/>
            </w:tcBorders>
            <w:vAlign w:val="center"/>
          </w:tcPr>
          <w:p w14:paraId="40F28596">
            <w:pPr>
              <w:pStyle w:val="45"/>
              <w:bidi w:val="0"/>
              <w:rPr>
                <w:rFonts w:hint="default"/>
              </w:rPr>
            </w:pPr>
            <w:r>
              <w:rPr>
                <w:rFonts w:hint="default"/>
              </w:rPr>
              <w:t>104%</w:t>
            </w:r>
          </w:p>
        </w:tc>
        <w:tc>
          <w:tcPr>
            <w:tcW w:w="1678" w:type="dxa"/>
            <w:tcBorders>
              <w:top w:val="single" w:color="000000" w:sz="4" w:space="0"/>
              <w:left w:val="single" w:color="000000" w:sz="4" w:space="0"/>
              <w:bottom w:val="single" w:color="000000" w:sz="4" w:space="0"/>
              <w:right w:val="single" w:color="000000" w:sz="4" w:space="0"/>
            </w:tcBorders>
            <w:vAlign w:val="center"/>
          </w:tcPr>
          <w:p w14:paraId="17891F8E">
            <w:pPr>
              <w:pStyle w:val="45"/>
              <w:bidi w:val="0"/>
              <w:rPr>
                <w:rFonts w:hint="default"/>
              </w:rPr>
            </w:pPr>
            <w:r>
              <w:rPr>
                <w:rFonts w:hint="eastAsia"/>
                <w:lang w:val="en-US" w:eastAsia="zh-CN"/>
              </w:rPr>
              <w:t>0</w:t>
            </w:r>
          </w:p>
        </w:tc>
        <w:tc>
          <w:tcPr>
            <w:tcW w:w="838" w:type="pct"/>
            <w:tcBorders>
              <w:top w:val="single" w:color="000000" w:sz="4" w:space="0"/>
              <w:left w:val="single" w:color="000000" w:sz="4" w:space="0"/>
              <w:bottom w:val="single" w:color="000000" w:sz="4" w:space="0"/>
              <w:right w:val="single" w:color="000000" w:sz="4" w:space="0"/>
            </w:tcBorders>
            <w:vAlign w:val="center"/>
          </w:tcPr>
          <w:p w14:paraId="6035F182">
            <w:pPr>
              <w:pStyle w:val="45"/>
              <w:bidi w:val="0"/>
              <w:rPr>
                <w:rFonts w:hint="default"/>
              </w:rPr>
            </w:pPr>
            <w:r>
              <w:rPr>
                <w:rFonts w:hint="default"/>
              </w:rPr>
              <w:t>管道</w:t>
            </w:r>
          </w:p>
        </w:tc>
      </w:tr>
      <w:tr w14:paraId="19403634">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405C3988">
            <w:pPr>
              <w:pStyle w:val="45"/>
              <w:bidi w:val="0"/>
              <w:rPr>
                <w:rFonts w:hint="default"/>
              </w:rPr>
            </w:pPr>
            <w:r>
              <w:rPr>
                <w:rFonts w:hint="default"/>
              </w:rPr>
              <w:t>4</w:t>
            </w:r>
          </w:p>
        </w:tc>
        <w:tc>
          <w:tcPr>
            <w:tcW w:w="587" w:type="pct"/>
            <w:vMerge w:val="continue"/>
            <w:tcBorders>
              <w:left w:val="single" w:color="000000" w:sz="4" w:space="0"/>
              <w:right w:val="single" w:color="000000" w:sz="4" w:space="0"/>
            </w:tcBorders>
            <w:vAlign w:val="center"/>
          </w:tcPr>
          <w:p w14:paraId="70AB51AF">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11943DE3">
            <w:pPr>
              <w:pStyle w:val="45"/>
              <w:bidi w:val="0"/>
              <w:rPr>
                <w:rFonts w:hint="default"/>
              </w:rPr>
            </w:pPr>
            <w:r>
              <w:rPr>
                <w:rFonts w:hint="default"/>
              </w:rPr>
              <w:t>氢氧化钠溶液</w:t>
            </w:r>
          </w:p>
        </w:tc>
        <w:tc>
          <w:tcPr>
            <w:tcW w:w="896" w:type="pct"/>
            <w:tcBorders>
              <w:top w:val="single" w:color="000000" w:sz="4" w:space="0"/>
              <w:left w:val="single" w:color="000000" w:sz="4" w:space="0"/>
              <w:bottom w:val="single" w:color="000000" w:sz="4" w:space="0"/>
              <w:right w:val="single" w:color="000000" w:sz="4" w:space="0"/>
            </w:tcBorders>
            <w:vAlign w:val="center"/>
          </w:tcPr>
          <w:p w14:paraId="426A06D9">
            <w:pPr>
              <w:pStyle w:val="45"/>
              <w:bidi w:val="0"/>
              <w:rPr>
                <w:rFonts w:hint="default"/>
              </w:rPr>
            </w:pPr>
            <w:r>
              <w:rPr>
                <w:rFonts w:hint="default"/>
              </w:rPr>
              <w:t>16%</w:t>
            </w:r>
          </w:p>
        </w:tc>
        <w:tc>
          <w:tcPr>
            <w:tcW w:w="1678" w:type="dxa"/>
            <w:tcBorders>
              <w:top w:val="single" w:color="000000" w:sz="4" w:space="0"/>
              <w:left w:val="single" w:color="000000" w:sz="4" w:space="0"/>
              <w:bottom w:val="single" w:color="000000" w:sz="4" w:space="0"/>
              <w:right w:val="single" w:color="000000" w:sz="4" w:space="0"/>
            </w:tcBorders>
            <w:vAlign w:val="center"/>
          </w:tcPr>
          <w:p w14:paraId="4976521A">
            <w:pPr>
              <w:pStyle w:val="45"/>
              <w:bidi w:val="0"/>
              <w:rPr>
                <w:rFonts w:hint="default"/>
              </w:rPr>
            </w:pPr>
            <w:r>
              <w:rPr>
                <w:rFonts w:hint="eastAsia"/>
                <w:lang w:val="en-US" w:eastAsia="zh-CN"/>
              </w:rPr>
              <w:t>0</w:t>
            </w:r>
          </w:p>
        </w:tc>
        <w:tc>
          <w:tcPr>
            <w:tcW w:w="838" w:type="pct"/>
            <w:tcBorders>
              <w:top w:val="single" w:color="000000" w:sz="4" w:space="0"/>
              <w:left w:val="single" w:color="000000" w:sz="4" w:space="0"/>
              <w:bottom w:val="single" w:color="000000" w:sz="4" w:space="0"/>
              <w:right w:val="single" w:color="000000" w:sz="4" w:space="0"/>
            </w:tcBorders>
            <w:vAlign w:val="center"/>
          </w:tcPr>
          <w:p w14:paraId="78C92355">
            <w:pPr>
              <w:pStyle w:val="45"/>
              <w:bidi w:val="0"/>
              <w:rPr>
                <w:rFonts w:hint="default"/>
              </w:rPr>
            </w:pPr>
            <w:r>
              <w:rPr>
                <w:rFonts w:hint="default"/>
              </w:rPr>
              <w:t>贮槽</w:t>
            </w:r>
          </w:p>
        </w:tc>
      </w:tr>
      <w:tr w14:paraId="76E9D306">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31930DDA">
            <w:pPr>
              <w:pStyle w:val="45"/>
              <w:bidi w:val="0"/>
              <w:rPr>
                <w:rFonts w:hint="default"/>
              </w:rPr>
            </w:pPr>
            <w:r>
              <w:rPr>
                <w:rFonts w:hint="default"/>
              </w:rPr>
              <w:t>5</w:t>
            </w:r>
          </w:p>
        </w:tc>
        <w:tc>
          <w:tcPr>
            <w:tcW w:w="587" w:type="pct"/>
            <w:vMerge w:val="continue"/>
            <w:tcBorders>
              <w:left w:val="single" w:color="000000" w:sz="4" w:space="0"/>
              <w:bottom w:val="single" w:color="000000" w:sz="4" w:space="0"/>
              <w:right w:val="single" w:color="000000" w:sz="4" w:space="0"/>
            </w:tcBorders>
            <w:vAlign w:val="center"/>
          </w:tcPr>
          <w:p w14:paraId="37A33A1C">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60F005A6">
            <w:pPr>
              <w:pStyle w:val="45"/>
              <w:bidi w:val="0"/>
              <w:rPr>
                <w:rFonts w:hint="default"/>
              </w:rPr>
            </w:pPr>
            <w:r>
              <w:rPr>
                <w:rFonts w:hint="default"/>
              </w:rPr>
              <w:t>生石灰</w:t>
            </w:r>
          </w:p>
        </w:tc>
        <w:tc>
          <w:tcPr>
            <w:tcW w:w="896" w:type="pct"/>
            <w:tcBorders>
              <w:top w:val="single" w:color="000000" w:sz="4" w:space="0"/>
              <w:left w:val="single" w:color="000000" w:sz="4" w:space="0"/>
              <w:bottom w:val="single" w:color="000000" w:sz="4" w:space="0"/>
              <w:right w:val="single" w:color="000000" w:sz="4" w:space="0"/>
            </w:tcBorders>
            <w:vAlign w:val="center"/>
          </w:tcPr>
          <w:p w14:paraId="0414A275">
            <w:pPr>
              <w:pStyle w:val="45"/>
              <w:bidi w:val="0"/>
              <w:rPr>
                <w:rFonts w:hint="default"/>
              </w:rPr>
            </w:pPr>
            <w:r>
              <w:rPr>
                <w:rFonts w:hint="default"/>
              </w:rPr>
              <w:t>—</w:t>
            </w:r>
          </w:p>
        </w:tc>
        <w:tc>
          <w:tcPr>
            <w:tcW w:w="1678" w:type="dxa"/>
            <w:tcBorders>
              <w:top w:val="single" w:color="000000" w:sz="4" w:space="0"/>
              <w:left w:val="single" w:color="000000" w:sz="4" w:space="0"/>
              <w:bottom w:val="single" w:color="000000" w:sz="4" w:space="0"/>
              <w:right w:val="single" w:color="000000" w:sz="4" w:space="0"/>
            </w:tcBorders>
            <w:vAlign w:val="center"/>
          </w:tcPr>
          <w:p w14:paraId="053AF2E5">
            <w:pPr>
              <w:pStyle w:val="45"/>
              <w:bidi w:val="0"/>
              <w:rPr>
                <w:rFonts w:hint="default"/>
              </w:rPr>
            </w:pPr>
            <w:r>
              <w:rPr>
                <w:rFonts w:hint="eastAsia"/>
                <w:lang w:val="en-US" w:eastAsia="zh-CN"/>
              </w:rPr>
              <w:t>0</w:t>
            </w:r>
          </w:p>
        </w:tc>
        <w:tc>
          <w:tcPr>
            <w:tcW w:w="838" w:type="pct"/>
            <w:tcBorders>
              <w:top w:val="single" w:color="000000" w:sz="4" w:space="0"/>
              <w:left w:val="single" w:color="000000" w:sz="4" w:space="0"/>
              <w:bottom w:val="single" w:color="000000" w:sz="4" w:space="0"/>
              <w:right w:val="single" w:color="000000" w:sz="4" w:space="0"/>
            </w:tcBorders>
            <w:vAlign w:val="center"/>
          </w:tcPr>
          <w:p w14:paraId="1E1ABB1C">
            <w:pPr>
              <w:pStyle w:val="45"/>
              <w:bidi w:val="0"/>
              <w:rPr>
                <w:rFonts w:hint="default"/>
              </w:rPr>
            </w:pPr>
            <w:r>
              <w:rPr>
                <w:rFonts w:hint="default"/>
              </w:rPr>
              <w:t>堆放</w:t>
            </w:r>
          </w:p>
        </w:tc>
      </w:tr>
      <w:tr w14:paraId="6042A388">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6DFB7DBA">
            <w:pPr>
              <w:pStyle w:val="45"/>
              <w:bidi w:val="0"/>
              <w:rPr>
                <w:rFonts w:hint="default"/>
              </w:rPr>
            </w:pPr>
            <w:r>
              <w:rPr>
                <w:rFonts w:hint="default"/>
              </w:rPr>
              <w:t>6</w:t>
            </w:r>
          </w:p>
        </w:tc>
        <w:tc>
          <w:tcPr>
            <w:tcW w:w="587" w:type="pct"/>
            <w:vMerge w:val="restart"/>
            <w:tcBorders>
              <w:top w:val="single" w:color="000000" w:sz="4" w:space="0"/>
              <w:left w:val="single" w:color="000000" w:sz="4" w:space="0"/>
              <w:right w:val="single" w:color="000000" w:sz="4" w:space="0"/>
            </w:tcBorders>
            <w:vAlign w:val="center"/>
          </w:tcPr>
          <w:p w14:paraId="0FC4D101">
            <w:pPr>
              <w:pStyle w:val="45"/>
              <w:bidi w:val="0"/>
              <w:rPr>
                <w:rFonts w:hint="default"/>
              </w:rPr>
            </w:pPr>
            <w:r>
              <w:rPr>
                <w:rFonts w:hint="default"/>
              </w:rPr>
              <w:t>F113a</w:t>
            </w:r>
          </w:p>
        </w:tc>
        <w:tc>
          <w:tcPr>
            <w:tcW w:w="1309" w:type="pct"/>
            <w:tcBorders>
              <w:top w:val="single" w:color="000000" w:sz="4" w:space="0"/>
              <w:left w:val="single" w:color="000000" w:sz="4" w:space="0"/>
              <w:bottom w:val="single" w:color="000000" w:sz="4" w:space="0"/>
              <w:right w:val="single" w:color="000000" w:sz="4" w:space="0"/>
            </w:tcBorders>
            <w:vAlign w:val="center"/>
          </w:tcPr>
          <w:p w14:paraId="0F3EFDE5">
            <w:pPr>
              <w:pStyle w:val="45"/>
              <w:bidi w:val="0"/>
              <w:rPr>
                <w:rFonts w:hint="default"/>
              </w:rPr>
            </w:pPr>
            <w:r>
              <w:rPr>
                <w:rFonts w:hint="default"/>
              </w:rPr>
              <w:t>F113</w:t>
            </w:r>
          </w:p>
        </w:tc>
        <w:tc>
          <w:tcPr>
            <w:tcW w:w="896" w:type="pct"/>
            <w:tcBorders>
              <w:top w:val="single" w:color="000000" w:sz="4" w:space="0"/>
              <w:left w:val="single" w:color="000000" w:sz="4" w:space="0"/>
              <w:bottom w:val="single" w:color="000000" w:sz="4" w:space="0"/>
              <w:right w:val="single" w:color="000000" w:sz="4" w:space="0"/>
            </w:tcBorders>
            <w:vAlign w:val="center"/>
          </w:tcPr>
          <w:p w14:paraId="3CEC238C">
            <w:pPr>
              <w:pStyle w:val="45"/>
              <w:bidi w:val="0"/>
              <w:rPr>
                <w:rFonts w:hint="default"/>
              </w:rPr>
            </w:pPr>
            <w:r>
              <w:rPr>
                <w:rFonts w:hint="default"/>
              </w:rPr>
              <w:t>99.9％</w:t>
            </w:r>
          </w:p>
        </w:tc>
        <w:tc>
          <w:tcPr>
            <w:tcW w:w="1678" w:type="dxa"/>
            <w:tcBorders>
              <w:top w:val="single" w:color="000000" w:sz="4" w:space="0"/>
              <w:left w:val="single" w:color="000000" w:sz="4" w:space="0"/>
              <w:bottom w:val="single" w:color="000000" w:sz="4" w:space="0"/>
              <w:right w:val="single" w:color="000000" w:sz="4" w:space="0"/>
            </w:tcBorders>
            <w:vAlign w:val="center"/>
          </w:tcPr>
          <w:p w14:paraId="44713484">
            <w:pPr>
              <w:pStyle w:val="45"/>
              <w:bidi w:val="0"/>
              <w:rPr>
                <w:rFonts w:hint="default"/>
              </w:rPr>
            </w:pPr>
            <w:r>
              <w:rPr>
                <w:rFonts w:hint="eastAsia"/>
                <w:lang w:val="en-US" w:eastAsia="zh-CN"/>
              </w:rPr>
              <w:t>21030.822</w:t>
            </w:r>
          </w:p>
        </w:tc>
        <w:tc>
          <w:tcPr>
            <w:tcW w:w="838" w:type="pct"/>
            <w:tcBorders>
              <w:top w:val="single" w:color="000000" w:sz="4" w:space="0"/>
              <w:left w:val="single" w:color="000000" w:sz="4" w:space="0"/>
              <w:bottom w:val="single" w:color="000000" w:sz="4" w:space="0"/>
              <w:right w:val="single" w:color="000000" w:sz="4" w:space="0"/>
            </w:tcBorders>
            <w:vAlign w:val="center"/>
          </w:tcPr>
          <w:p w14:paraId="2DD3A533">
            <w:pPr>
              <w:pStyle w:val="45"/>
              <w:bidi w:val="0"/>
              <w:rPr>
                <w:rFonts w:hint="default"/>
              </w:rPr>
            </w:pPr>
            <w:r>
              <w:rPr>
                <w:rFonts w:hint="default"/>
              </w:rPr>
              <w:t>贮槽</w:t>
            </w:r>
          </w:p>
        </w:tc>
      </w:tr>
      <w:tr w14:paraId="55EBC67E">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2099D712">
            <w:pPr>
              <w:pStyle w:val="45"/>
              <w:bidi w:val="0"/>
              <w:rPr>
                <w:rFonts w:hint="default"/>
              </w:rPr>
            </w:pPr>
            <w:r>
              <w:rPr>
                <w:rFonts w:hint="default"/>
              </w:rPr>
              <w:t>7</w:t>
            </w:r>
          </w:p>
        </w:tc>
        <w:tc>
          <w:tcPr>
            <w:tcW w:w="587" w:type="pct"/>
            <w:vMerge w:val="continue"/>
            <w:tcBorders>
              <w:left w:val="single" w:color="000000" w:sz="4" w:space="0"/>
              <w:right w:val="single" w:color="000000" w:sz="4" w:space="0"/>
            </w:tcBorders>
            <w:vAlign w:val="center"/>
          </w:tcPr>
          <w:p w14:paraId="3412572D">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4930E778">
            <w:pPr>
              <w:pStyle w:val="45"/>
              <w:bidi w:val="0"/>
              <w:rPr>
                <w:rFonts w:hint="default"/>
              </w:rPr>
            </w:pPr>
            <w:r>
              <w:rPr>
                <w:rFonts w:hint="default"/>
              </w:rPr>
              <w:t>AlCl3</w:t>
            </w:r>
          </w:p>
        </w:tc>
        <w:tc>
          <w:tcPr>
            <w:tcW w:w="896" w:type="pct"/>
            <w:tcBorders>
              <w:top w:val="single" w:color="000000" w:sz="4" w:space="0"/>
              <w:left w:val="single" w:color="000000" w:sz="4" w:space="0"/>
              <w:bottom w:val="single" w:color="000000" w:sz="4" w:space="0"/>
              <w:right w:val="single" w:color="000000" w:sz="4" w:space="0"/>
            </w:tcBorders>
            <w:vAlign w:val="center"/>
          </w:tcPr>
          <w:p w14:paraId="33AF821F">
            <w:pPr>
              <w:pStyle w:val="45"/>
              <w:bidi w:val="0"/>
              <w:rPr>
                <w:rFonts w:hint="default"/>
              </w:rPr>
            </w:pPr>
            <w:r>
              <w:rPr>
                <w:rFonts w:hint="default"/>
              </w:rPr>
              <w:t>99%</w:t>
            </w:r>
          </w:p>
        </w:tc>
        <w:tc>
          <w:tcPr>
            <w:tcW w:w="1678" w:type="dxa"/>
            <w:tcBorders>
              <w:top w:val="single" w:color="000000" w:sz="4" w:space="0"/>
              <w:left w:val="single" w:color="000000" w:sz="4" w:space="0"/>
              <w:bottom w:val="single" w:color="000000" w:sz="4" w:space="0"/>
              <w:right w:val="single" w:color="000000" w:sz="4" w:space="0"/>
            </w:tcBorders>
            <w:vAlign w:val="center"/>
          </w:tcPr>
          <w:p w14:paraId="73ADAF8B">
            <w:pPr>
              <w:pStyle w:val="45"/>
              <w:bidi w:val="0"/>
              <w:rPr>
                <w:rFonts w:hint="default"/>
              </w:rPr>
            </w:pPr>
            <w:r>
              <w:rPr>
                <w:rFonts w:hint="eastAsia"/>
                <w:lang w:val="en-US" w:eastAsia="zh-CN"/>
              </w:rPr>
              <w:t>13.41</w:t>
            </w:r>
          </w:p>
        </w:tc>
        <w:tc>
          <w:tcPr>
            <w:tcW w:w="838" w:type="pct"/>
            <w:tcBorders>
              <w:top w:val="single" w:color="000000" w:sz="4" w:space="0"/>
              <w:left w:val="single" w:color="000000" w:sz="4" w:space="0"/>
              <w:bottom w:val="single" w:color="000000" w:sz="4" w:space="0"/>
              <w:right w:val="single" w:color="000000" w:sz="4" w:space="0"/>
            </w:tcBorders>
            <w:vAlign w:val="center"/>
          </w:tcPr>
          <w:p w14:paraId="1EB02EB9">
            <w:pPr>
              <w:pStyle w:val="45"/>
              <w:bidi w:val="0"/>
              <w:rPr>
                <w:rFonts w:hint="default"/>
              </w:rPr>
            </w:pPr>
            <w:r>
              <w:rPr>
                <w:rFonts w:hint="default"/>
              </w:rPr>
              <w:t>桶装</w:t>
            </w:r>
          </w:p>
        </w:tc>
      </w:tr>
      <w:tr w14:paraId="4A665543">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418A33D8">
            <w:pPr>
              <w:pStyle w:val="45"/>
              <w:bidi w:val="0"/>
              <w:rPr>
                <w:rFonts w:hint="eastAsia"/>
                <w:lang w:eastAsia="zh-CN"/>
              </w:rPr>
            </w:pPr>
            <w:r>
              <w:rPr>
                <w:rFonts w:hint="eastAsia"/>
                <w:lang w:val="en-US" w:eastAsia="zh-CN"/>
              </w:rPr>
              <w:t>8</w:t>
            </w:r>
          </w:p>
        </w:tc>
        <w:tc>
          <w:tcPr>
            <w:tcW w:w="587" w:type="pct"/>
            <w:vMerge w:val="restart"/>
            <w:tcBorders>
              <w:top w:val="single" w:color="000000" w:sz="4" w:space="0"/>
              <w:left w:val="single" w:color="000000" w:sz="4" w:space="0"/>
              <w:right w:val="single" w:color="000000" w:sz="4" w:space="0"/>
            </w:tcBorders>
            <w:vAlign w:val="center"/>
          </w:tcPr>
          <w:p w14:paraId="482DB53D">
            <w:pPr>
              <w:pStyle w:val="45"/>
              <w:bidi w:val="0"/>
              <w:rPr>
                <w:rFonts w:hint="default"/>
              </w:rPr>
            </w:pPr>
            <w:r>
              <w:rPr>
                <w:rFonts w:hint="default"/>
              </w:rPr>
              <w:t>CTFE</w:t>
            </w:r>
          </w:p>
        </w:tc>
        <w:tc>
          <w:tcPr>
            <w:tcW w:w="1309" w:type="pct"/>
            <w:tcBorders>
              <w:top w:val="single" w:color="000000" w:sz="4" w:space="0"/>
              <w:left w:val="single" w:color="000000" w:sz="4" w:space="0"/>
              <w:bottom w:val="single" w:color="000000" w:sz="4" w:space="0"/>
              <w:right w:val="single" w:color="000000" w:sz="4" w:space="0"/>
            </w:tcBorders>
            <w:vAlign w:val="center"/>
          </w:tcPr>
          <w:p w14:paraId="0A899213">
            <w:pPr>
              <w:pStyle w:val="45"/>
              <w:bidi w:val="0"/>
              <w:rPr>
                <w:rFonts w:hint="default"/>
              </w:rPr>
            </w:pPr>
            <w:r>
              <w:rPr>
                <w:rFonts w:hint="default"/>
              </w:rPr>
              <w:t>F113</w:t>
            </w:r>
          </w:p>
        </w:tc>
        <w:tc>
          <w:tcPr>
            <w:tcW w:w="896" w:type="pct"/>
            <w:tcBorders>
              <w:top w:val="single" w:color="000000" w:sz="4" w:space="0"/>
              <w:left w:val="single" w:color="000000" w:sz="4" w:space="0"/>
              <w:bottom w:val="single" w:color="000000" w:sz="4" w:space="0"/>
              <w:right w:val="single" w:color="000000" w:sz="4" w:space="0"/>
            </w:tcBorders>
            <w:vAlign w:val="center"/>
          </w:tcPr>
          <w:p w14:paraId="3F9BC8F2">
            <w:pPr>
              <w:pStyle w:val="45"/>
              <w:bidi w:val="0"/>
              <w:rPr>
                <w:rFonts w:hint="default"/>
              </w:rPr>
            </w:pPr>
            <w:r>
              <w:rPr>
                <w:rFonts w:hint="default"/>
              </w:rPr>
              <w:t>99.9%</w:t>
            </w:r>
          </w:p>
        </w:tc>
        <w:tc>
          <w:tcPr>
            <w:tcW w:w="1678" w:type="dxa"/>
            <w:tcBorders>
              <w:top w:val="single" w:color="000000" w:sz="4" w:space="0"/>
              <w:left w:val="single" w:color="000000" w:sz="4" w:space="0"/>
              <w:bottom w:val="single" w:color="000000" w:sz="4" w:space="0"/>
              <w:right w:val="single" w:color="000000" w:sz="4" w:space="0"/>
            </w:tcBorders>
            <w:vAlign w:val="center"/>
          </w:tcPr>
          <w:p w14:paraId="6B29931A">
            <w:pPr>
              <w:pStyle w:val="45"/>
              <w:bidi w:val="0"/>
              <w:rPr>
                <w:rFonts w:hint="default"/>
              </w:rPr>
            </w:pPr>
            <w:r>
              <w:rPr>
                <w:rFonts w:hint="eastAsia"/>
                <w:lang w:val="en-US" w:eastAsia="zh-CN"/>
              </w:rPr>
              <w:t>4257.15</w:t>
            </w:r>
          </w:p>
        </w:tc>
        <w:tc>
          <w:tcPr>
            <w:tcW w:w="838" w:type="pct"/>
            <w:tcBorders>
              <w:top w:val="single" w:color="000000" w:sz="4" w:space="0"/>
              <w:left w:val="single" w:color="000000" w:sz="4" w:space="0"/>
              <w:bottom w:val="single" w:color="000000" w:sz="4" w:space="0"/>
              <w:right w:val="single" w:color="000000" w:sz="4" w:space="0"/>
            </w:tcBorders>
            <w:vAlign w:val="center"/>
          </w:tcPr>
          <w:p w14:paraId="6D5EAA5A">
            <w:pPr>
              <w:pStyle w:val="45"/>
              <w:bidi w:val="0"/>
              <w:rPr>
                <w:rFonts w:hint="default"/>
              </w:rPr>
            </w:pPr>
            <w:r>
              <w:rPr>
                <w:rFonts w:hint="default"/>
              </w:rPr>
              <w:t>管道</w:t>
            </w:r>
          </w:p>
        </w:tc>
      </w:tr>
      <w:tr w14:paraId="53A97F8D">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58659BA4">
            <w:pPr>
              <w:pStyle w:val="45"/>
              <w:bidi w:val="0"/>
              <w:rPr>
                <w:rFonts w:hint="eastAsia"/>
                <w:lang w:val="en-US" w:eastAsia="zh-CN"/>
              </w:rPr>
            </w:pPr>
            <w:r>
              <w:rPr>
                <w:rFonts w:hint="eastAsia"/>
                <w:lang w:val="en-US" w:eastAsia="zh-CN"/>
              </w:rPr>
              <w:t>9</w:t>
            </w:r>
          </w:p>
        </w:tc>
        <w:tc>
          <w:tcPr>
            <w:tcW w:w="587" w:type="pct"/>
            <w:vMerge w:val="continue"/>
            <w:tcBorders>
              <w:left w:val="single" w:color="000000" w:sz="4" w:space="0"/>
              <w:right w:val="single" w:color="000000" w:sz="4" w:space="0"/>
            </w:tcBorders>
            <w:vAlign w:val="center"/>
          </w:tcPr>
          <w:p w14:paraId="03BFDE2F">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47BD576C">
            <w:pPr>
              <w:pStyle w:val="45"/>
              <w:bidi w:val="0"/>
              <w:rPr>
                <w:rFonts w:hint="default"/>
              </w:rPr>
            </w:pPr>
            <w:r>
              <w:rPr>
                <w:rFonts w:hint="default"/>
              </w:rPr>
              <w:t>锌粉</w:t>
            </w:r>
          </w:p>
        </w:tc>
        <w:tc>
          <w:tcPr>
            <w:tcW w:w="896" w:type="pct"/>
            <w:tcBorders>
              <w:top w:val="single" w:color="000000" w:sz="4" w:space="0"/>
              <w:left w:val="single" w:color="000000" w:sz="4" w:space="0"/>
              <w:bottom w:val="single" w:color="000000" w:sz="4" w:space="0"/>
              <w:right w:val="single" w:color="000000" w:sz="4" w:space="0"/>
            </w:tcBorders>
            <w:vAlign w:val="center"/>
          </w:tcPr>
          <w:p w14:paraId="2E3736DD">
            <w:pPr>
              <w:pStyle w:val="45"/>
              <w:bidi w:val="0"/>
              <w:rPr>
                <w:rFonts w:hint="default"/>
              </w:rPr>
            </w:pPr>
            <w:r>
              <w:rPr>
                <w:rFonts w:hint="default"/>
              </w:rPr>
              <w:t>98%</w:t>
            </w:r>
          </w:p>
        </w:tc>
        <w:tc>
          <w:tcPr>
            <w:tcW w:w="1678" w:type="dxa"/>
            <w:tcBorders>
              <w:top w:val="single" w:color="000000" w:sz="4" w:space="0"/>
              <w:left w:val="single" w:color="000000" w:sz="4" w:space="0"/>
              <w:bottom w:val="single" w:color="000000" w:sz="4" w:space="0"/>
              <w:right w:val="single" w:color="000000" w:sz="4" w:space="0"/>
            </w:tcBorders>
            <w:vAlign w:val="center"/>
          </w:tcPr>
          <w:p w14:paraId="556EED9B">
            <w:pPr>
              <w:pStyle w:val="45"/>
              <w:bidi w:val="0"/>
              <w:rPr>
                <w:rFonts w:hint="default"/>
              </w:rPr>
            </w:pPr>
            <w:r>
              <w:rPr>
                <w:rFonts w:hint="eastAsia"/>
                <w:lang w:val="en-US" w:eastAsia="zh-CN"/>
              </w:rPr>
              <w:t>1578.99</w:t>
            </w:r>
          </w:p>
        </w:tc>
        <w:tc>
          <w:tcPr>
            <w:tcW w:w="838" w:type="pct"/>
            <w:tcBorders>
              <w:top w:val="single" w:color="000000" w:sz="4" w:space="0"/>
              <w:left w:val="single" w:color="000000" w:sz="4" w:space="0"/>
              <w:bottom w:val="single" w:color="000000" w:sz="4" w:space="0"/>
              <w:right w:val="single" w:color="000000" w:sz="4" w:space="0"/>
            </w:tcBorders>
            <w:vAlign w:val="center"/>
          </w:tcPr>
          <w:p w14:paraId="69E10441">
            <w:pPr>
              <w:pStyle w:val="45"/>
              <w:bidi w:val="0"/>
              <w:rPr>
                <w:rFonts w:hint="default"/>
              </w:rPr>
            </w:pPr>
            <w:r>
              <w:rPr>
                <w:rFonts w:hint="default"/>
              </w:rPr>
              <w:t>铁桶</w:t>
            </w:r>
          </w:p>
        </w:tc>
      </w:tr>
      <w:tr w14:paraId="2CA1BE38">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552B8AE1">
            <w:pPr>
              <w:pStyle w:val="45"/>
              <w:bidi w:val="0"/>
              <w:rPr>
                <w:rFonts w:hint="default"/>
              </w:rPr>
            </w:pPr>
            <w:r>
              <w:rPr>
                <w:rFonts w:hint="default"/>
              </w:rPr>
              <w:t>10</w:t>
            </w:r>
          </w:p>
        </w:tc>
        <w:tc>
          <w:tcPr>
            <w:tcW w:w="587" w:type="pct"/>
            <w:vMerge w:val="continue"/>
            <w:tcBorders>
              <w:left w:val="single" w:color="000000" w:sz="4" w:space="0"/>
              <w:right w:val="single" w:color="000000" w:sz="4" w:space="0"/>
            </w:tcBorders>
            <w:vAlign w:val="center"/>
          </w:tcPr>
          <w:p w14:paraId="6E54F899">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0E21B0F0">
            <w:pPr>
              <w:pStyle w:val="45"/>
              <w:bidi w:val="0"/>
              <w:rPr>
                <w:rFonts w:hint="default"/>
              </w:rPr>
            </w:pPr>
            <w:r>
              <w:rPr>
                <w:rFonts w:hint="default"/>
              </w:rPr>
              <w:t>甲醇</w:t>
            </w:r>
          </w:p>
        </w:tc>
        <w:tc>
          <w:tcPr>
            <w:tcW w:w="896" w:type="pct"/>
            <w:tcBorders>
              <w:top w:val="single" w:color="000000" w:sz="4" w:space="0"/>
              <w:left w:val="single" w:color="000000" w:sz="4" w:space="0"/>
              <w:bottom w:val="single" w:color="000000" w:sz="4" w:space="0"/>
              <w:right w:val="single" w:color="000000" w:sz="4" w:space="0"/>
            </w:tcBorders>
            <w:vAlign w:val="center"/>
          </w:tcPr>
          <w:p w14:paraId="1997DCC8">
            <w:pPr>
              <w:pStyle w:val="45"/>
              <w:bidi w:val="0"/>
              <w:rPr>
                <w:rFonts w:hint="default"/>
              </w:rPr>
            </w:pPr>
            <w:r>
              <w:rPr>
                <w:rFonts w:hint="default"/>
              </w:rPr>
              <w:t>99.9%</w:t>
            </w:r>
          </w:p>
        </w:tc>
        <w:tc>
          <w:tcPr>
            <w:tcW w:w="1678" w:type="dxa"/>
            <w:tcBorders>
              <w:top w:val="single" w:color="000000" w:sz="4" w:space="0"/>
              <w:left w:val="single" w:color="000000" w:sz="4" w:space="0"/>
              <w:bottom w:val="single" w:color="000000" w:sz="4" w:space="0"/>
              <w:right w:val="single" w:color="000000" w:sz="4" w:space="0"/>
            </w:tcBorders>
            <w:vAlign w:val="center"/>
          </w:tcPr>
          <w:p w14:paraId="7488B45F">
            <w:pPr>
              <w:pStyle w:val="45"/>
              <w:bidi w:val="0"/>
              <w:rPr>
                <w:rFonts w:hint="default"/>
              </w:rPr>
            </w:pPr>
            <w:r>
              <w:rPr>
                <w:rFonts w:hint="eastAsia"/>
                <w:lang w:val="en-US" w:eastAsia="zh-CN"/>
              </w:rPr>
              <w:t>1534.13</w:t>
            </w:r>
          </w:p>
        </w:tc>
        <w:tc>
          <w:tcPr>
            <w:tcW w:w="838" w:type="pct"/>
            <w:tcBorders>
              <w:top w:val="single" w:color="000000" w:sz="4" w:space="0"/>
              <w:left w:val="single" w:color="000000" w:sz="4" w:space="0"/>
              <w:bottom w:val="single" w:color="000000" w:sz="4" w:space="0"/>
              <w:right w:val="single" w:color="000000" w:sz="4" w:space="0"/>
            </w:tcBorders>
            <w:vAlign w:val="center"/>
          </w:tcPr>
          <w:p w14:paraId="469CD20E">
            <w:pPr>
              <w:pStyle w:val="45"/>
              <w:bidi w:val="0"/>
              <w:rPr>
                <w:rFonts w:hint="default"/>
              </w:rPr>
            </w:pPr>
            <w:r>
              <w:rPr>
                <w:rFonts w:hint="default"/>
              </w:rPr>
              <w:t>贮槽</w:t>
            </w:r>
          </w:p>
        </w:tc>
      </w:tr>
      <w:tr w14:paraId="24D816EE">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7B0B2C1C">
            <w:pPr>
              <w:pStyle w:val="45"/>
              <w:bidi w:val="0"/>
              <w:rPr>
                <w:rFonts w:hint="default"/>
              </w:rPr>
            </w:pPr>
            <w:r>
              <w:rPr>
                <w:rFonts w:hint="default"/>
              </w:rPr>
              <w:t>11</w:t>
            </w:r>
          </w:p>
        </w:tc>
        <w:tc>
          <w:tcPr>
            <w:tcW w:w="587" w:type="pct"/>
            <w:vMerge w:val="continue"/>
            <w:tcBorders>
              <w:left w:val="single" w:color="000000" w:sz="4" w:space="0"/>
              <w:bottom w:val="single" w:color="000000" w:sz="4" w:space="0"/>
              <w:right w:val="single" w:color="000000" w:sz="4" w:space="0"/>
            </w:tcBorders>
            <w:vAlign w:val="center"/>
          </w:tcPr>
          <w:p w14:paraId="16188CDE">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101FA171">
            <w:pPr>
              <w:pStyle w:val="45"/>
              <w:bidi w:val="0"/>
              <w:rPr>
                <w:rFonts w:hint="default"/>
              </w:rPr>
            </w:pPr>
            <w:r>
              <w:rPr>
                <w:rFonts w:hint="default"/>
              </w:rPr>
              <w:t>吸附剂</w:t>
            </w:r>
          </w:p>
        </w:tc>
        <w:tc>
          <w:tcPr>
            <w:tcW w:w="896" w:type="pct"/>
            <w:tcBorders>
              <w:top w:val="single" w:color="000000" w:sz="4" w:space="0"/>
              <w:left w:val="single" w:color="000000" w:sz="4" w:space="0"/>
              <w:bottom w:val="single" w:color="000000" w:sz="4" w:space="0"/>
              <w:right w:val="single" w:color="000000" w:sz="4" w:space="0"/>
            </w:tcBorders>
            <w:vAlign w:val="center"/>
          </w:tcPr>
          <w:p w14:paraId="5DFB15B7">
            <w:pPr>
              <w:pStyle w:val="45"/>
              <w:bidi w:val="0"/>
              <w:rPr>
                <w:rFonts w:hint="default"/>
              </w:rPr>
            </w:pPr>
            <w:r>
              <w:rPr>
                <w:rFonts w:hint="default"/>
              </w:rPr>
              <w:t>—</w:t>
            </w:r>
          </w:p>
        </w:tc>
        <w:tc>
          <w:tcPr>
            <w:tcW w:w="1678" w:type="dxa"/>
            <w:tcBorders>
              <w:top w:val="single" w:color="000000" w:sz="4" w:space="0"/>
              <w:left w:val="single" w:color="000000" w:sz="4" w:space="0"/>
              <w:bottom w:val="single" w:color="000000" w:sz="4" w:space="0"/>
              <w:right w:val="single" w:color="000000" w:sz="4" w:space="0"/>
            </w:tcBorders>
            <w:vAlign w:val="center"/>
          </w:tcPr>
          <w:p w14:paraId="6F373CD8">
            <w:pPr>
              <w:pStyle w:val="45"/>
              <w:bidi w:val="0"/>
              <w:rPr>
                <w:rFonts w:hint="default"/>
              </w:rPr>
            </w:pPr>
            <w:r>
              <w:rPr>
                <w:rFonts w:hint="eastAsia"/>
                <w:lang w:val="en-US" w:eastAsia="zh-CN"/>
              </w:rPr>
              <w:t>27.575</w:t>
            </w:r>
          </w:p>
        </w:tc>
        <w:tc>
          <w:tcPr>
            <w:tcW w:w="838" w:type="pct"/>
            <w:tcBorders>
              <w:top w:val="single" w:color="000000" w:sz="4" w:space="0"/>
              <w:left w:val="single" w:color="000000" w:sz="4" w:space="0"/>
              <w:bottom w:val="single" w:color="000000" w:sz="4" w:space="0"/>
              <w:right w:val="single" w:color="000000" w:sz="4" w:space="0"/>
            </w:tcBorders>
            <w:vAlign w:val="center"/>
          </w:tcPr>
          <w:p w14:paraId="29E2CD45">
            <w:pPr>
              <w:pStyle w:val="45"/>
              <w:bidi w:val="0"/>
              <w:rPr>
                <w:rFonts w:hint="default"/>
              </w:rPr>
            </w:pPr>
            <w:r>
              <w:rPr>
                <w:rFonts w:hint="default"/>
              </w:rPr>
              <w:t>铁桶</w:t>
            </w:r>
          </w:p>
        </w:tc>
      </w:tr>
      <w:tr w14:paraId="358B7AD2">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7F4F74D1">
            <w:pPr>
              <w:pStyle w:val="45"/>
              <w:bidi w:val="0"/>
              <w:rPr>
                <w:rFonts w:hint="default"/>
              </w:rPr>
            </w:pPr>
            <w:r>
              <w:rPr>
                <w:rFonts w:hint="default"/>
              </w:rPr>
              <w:t>12</w:t>
            </w:r>
          </w:p>
        </w:tc>
        <w:tc>
          <w:tcPr>
            <w:tcW w:w="587" w:type="pct"/>
            <w:vMerge w:val="restart"/>
            <w:tcBorders>
              <w:top w:val="single" w:color="000000" w:sz="4" w:space="0"/>
              <w:left w:val="single" w:color="000000" w:sz="4" w:space="0"/>
              <w:right w:val="single" w:color="000000" w:sz="4" w:space="0"/>
            </w:tcBorders>
            <w:vAlign w:val="center"/>
          </w:tcPr>
          <w:p w14:paraId="58E7ED14">
            <w:pPr>
              <w:pStyle w:val="45"/>
              <w:bidi w:val="0"/>
              <w:rPr>
                <w:rFonts w:hint="default"/>
              </w:rPr>
            </w:pPr>
            <w:r>
              <w:rPr>
                <w:rFonts w:hint="default"/>
              </w:rPr>
              <w:t>F113</w:t>
            </w:r>
          </w:p>
        </w:tc>
        <w:tc>
          <w:tcPr>
            <w:tcW w:w="1309" w:type="pct"/>
            <w:tcBorders>
              <w:top w:val="single" w:color="000000" w:sz="4" w:space="0"/>
              <w:left w:val="single" w:color="000000" w:sz="4" w:space="0"/>
              <w:bottom w:val="single" w:color="000000" w:sz="4" w:space="0"/>
              <w:right w:val="single" w:color="000000" w:sz="4" w:space="0"/>
            </w:tcBorders>
            <w:vAlign w:val="center"/>
          </w:tcPr>
          <w:p w14:paraId="78A1D800">
            <w:pPr>
              <w:pStyle w:val="45"/>
              <w:bidi w:val="0"/>
              <w:rPr>
                <w:rFonts w:hint="default"/>
              </w:rPr>
            </w:pPr>
            <w:r>
              <w:rPr>
                <w:rFonts w:hint="default"/>
              </w:rPr>
              <w:t>四氯乙烯</w:t>
            </w:r>
          </w:p>
        </w:tc>
        <w:tc>
          <w:tcPr>
            <w:tcW w:w="896" w:type="pct"/>
            <w:tcBorders>
              <w:top w:val="single" w:color="000000" w:sz="4" w:space="0"/>
              <w:left w:val="single" w:color="000000" w:sz="4" w:space="0"/>
              <w:bottom w:val="single" w:color="000000" w:sz="4" w:space="0"/>
              <w:right w:val="single" w:color="000000" w:sz="4" w:space="0"/>
            </w:tcBorders>
            <w:vAlign w:val="center"/>
          </w:tcPr>
          <w:p w14:paraId="34B69FB9">
            <w:pPr>
              <w:pStyle w:val="45"/>
              <w:bidi w:val="0"/>
              <w:rPr>
                <w:rFonts w:hint="default"/>
              </w:rPr>
            </w:pPr>
            <w:r>
              <w:rPr>
                <w:rFonts w:hint="default"/>
              </w:rPr>
              <w:t>99.9%</w:t>
            </w:r>
          </w:p>
        </w:tc>
        <w:tc>
          <w:tcPr>
            <w:tcW w:w="1678" w:type="dxa"/>
            <w:tcBorders>
              <w:top w:val="single" w:color="000000" w:sz="4" w:space="0"/>
              <w:left w:val="single" w:color="000000" w:sz="4" w:space="0"/>
              <w:bottom w:val="single" w:color="000000" w:sz="4" w:space="0"/>
              <w:right w:val="single" w:color="000000" w:sz="4" w:space="0"/>
            </w:tcBorders>
            <w:vAlign w:val="center"/>
          </w:tcPr>
          <w:p w14:paraId="36FC5CE7">
            <w:pPr>
              <w:pStyle w:val="45"/>
              <w:bidi w:val="0"/>
              <w:rPr>
                <w:rFonts w:hint="default"/>
              </w:rPr>
            </w:pPr>
            <w:r>
              <w:rPr>
                <w:rFonts w:hint="eastAsia"/>
                <w:lang w:val="en-US" w:eastAsia="zh-CN"/>
              </w:rPr>
              <w:t>22470.543</w:t>
            </w:r>
          </w:p>
        </w:tc>
        <w:tc>
          <w:tcPr>
            <w:tcW w:w="838" w:type="pct"/>
            <w:tcBorders>
              <w:top w:val="single" w:color="000000" w:sz="4" w:space="0"/>
              <w:left w:val="single" w:color="000000" w:sz="4" w:space="0"/>
              <w:bottom w:val="single" w:color="000000" w:sz="4" w:space="0"/>
              <w:right w:val="single" w:color="000000" w:sz="4" w:space="0"/>
            </w:tcBorders>
            <w:vAlign w:val="center"/>
          </w:tcPr>
          <w:p w14:paraId="4EC6C48F">
            <w:pPr>
              <w:pStyle w:val="45"/>
              <w:bidi w:val="0"/>
              <w:rPr>
                <w:rFonts w:hint="default"/>
              </w:rPr>
            </w:pPr>
            <w:r>
              <w:rPr>
                <w:rFonts w:hint="default"/>
              </w:rPr>
              <w:t>贮槽</w:t>
            </w:r>
          </w:p>
        </w:tc>
      </w:tr>
      <w:tr w14:paraId="5B5D8DA8">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37FABB6D">
            <w:pPr>
              <w:pStyle w:val="45"/>
              <w:bidi w:val="0"/>
              <w:rPr>
                <w:rFonts w:hint="default"/>
              </w:rPr>
            </w:pPr>
            <w:r>
              <w:rPr>
                <w:rFonts w:hint="default"/>
              </w:rPr>
              <w:t>13</w:t>
            </w:r>
          </w:p>
        </w:tc>
        <w:tc>
          <w:tcPr>
            <w:tcW w:w="587" w:type="pct"/>
            <w:vMerge w:val="continue"/>
            <w:tcBorders>
              <w:left w:val="single" w:color="000000" w:sz="4" w:space="0"/>
              <w:right w:val="single" w:color="000000" w:sz="4" w:space="0"/>
            </w:tcBorders>
            <w:vAlign w:val="center"/>
          </w:tcPr>
          <w:p w14:paraId="5E7264C1">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66934D5B">
            <w:pPr>
              <w:pStyle w:val="45"/>
              <w:bidi w:val="0"/>
              <w:rPr>
                <w:rFonts w:hint="default"/>
              </w:rPr>
            </w:pPr>
            <w:r>
              <w:rPr>
                <w:rFonts w:hint="default"/>
              </w:rPr>
              <w:t>液氯</w:t>
            </w:r>
          </w:p>
        </w:tc>
        <w:tc>
          <w:tcPr>
            <w:tcW w:w="896" w:type="pct"/>
            <w:tcBorders>
              <w:top w:val="single" w:color="000000" w:sz="4" w:space="0"/>
              <w:left w:val="single" w:color="000000" w:sz="4" w:space="0"/>
              <w:bottom w:val="single" w:color="000000" w:sz="4" w:space="0"/>
              <w:right w:val="single" w:color="000000" w:sz="4" w:space="0"/>
            </w:tcBorders>
            <w:vAlign w:val="center"/>
          </w:tcPr>
          <w:p w14:paraId="1EDB2284">
            <w:pPr>
              <w:pStyle w:val="45"/>
              <w:bidi w:val="0"/>
              <w:rPr>
                <w:rFonts w:hint="default"/>
              </w:rPr>
            </w:pPr>
            <w:r>
              <w:rPr>
                <w:rFonts w:hint="default"/>
                <w:lang w:val="en-US" w:eastAsia="zh-CN"/>
              </w:rPr>
              <w:t>&gt;99%</w:t>
            </w:r>
          </w:p>
        </w:tc>
        <w:tc>
          <w:tcPr>
            <w:tcW w:w="1678" w:type="dxa"/>
            <w:tcBorders>
              <w:top w:val="single" w:color="000000" w:sz="4" w:space="0"/>
              <w:left w:val="single" w:color="000000" w:sz="4" w:space="0"/>
              <w:bottom w:val="single" w:color="000000" w:sz="4" w:space="0"/>
              <w:right w:val="single" w:color="000000" w:sz="4" w:space="0"/>
            </w:tcBorders>
            <w:vAlign w:val="center"/>
          </w:tcPr>
          <w:p w14:paraId="2A013BAF">
            <w:pPr>
              <w:pStyle w:val="45"/>
              <w:bidi w:val="0"/>
              <w:rPr>
                <w:rFonts w:hint="default"/>
              </w:rPr>
            </w:pPr>
            <w:r>
              <w:rPr>
                <w:rFonts w:hint="eastAsia"/>
                <w:lang w:val="en-US" w:eastAsia="zh-CN"/>
              </w:rPr>
              <w:t>9597.882</w:t>
            </w:r>
          </w:p>
        </w:tc>
        <w:tc>
          <w:tcPr>
            <w:tcW w:w="838" w:type="pct"/>
            <w:tcBorders>
              <w:top w:val="single" w:color="000000" w:sz="4" w:space="0"/>
              <w:left w:val="single" w:color="000000" w:sz="4" w:space="0"/>
              <w:bottom w:val="single" w:color="000000" w:sz="4" w:space="0"/>
              <w:right w:val="single" w:color="000000" w:sz="4" w:space="0"/>
            </w:tcBorders>
            <w:vAlign w:val="center"/>
          </w:tcPr>
          <w:p w14:paraId="0DB85955">
            <w:pPr>
              <w:pStyle w:val="45"/>
              <w:bidi w:val="0"/>
              <w:rPr>
                <w:rFonts w:hint="default"/>
              </w:rPr>
            </w:pPr>
            <w:r>
              <w:rPr>
                <w:rFonts w:hint="default"/>
                <w:lang w:val="en-US" w:eastAsia="zh-CN"/>
              </w:rPr>
              <w:t>移动式tank罐</w:t>
            </w:r>
          </w:p>
        </w:tc>
      </w:tr>
      <w:tr w14:paraId="7A3907CC">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3C172694">
            <w:pPr>
              <w:pStyle w:val="45"/>
              <w:bidi w:val="0"/>
              <w:rPr>
                <w:rFonts w:hint="default"/>
              </w:rPr>
            </w:pPr>
            <w:r>
              <w:rPr>
                <w:rFonts w:hint="default"/>
              </w:rPr>
              <w:t>14</w:t>
            </w:r>
          </w:p>
        </w:tc>
        <w:tc>
          <w:tcPr>
            <w:tcW w:w="587" w:type="pct"/>
            <w:vMerge w:val="continue"/>
            <w:tcBorders>
              <w:left w:val="single" w:color="000000" w:sz="4" w:space="0"/>
              <w:right w:val="single" w:color="000000" w:sz="4" w:space="0"/>
            </w:tcBorders>
            <w:vAlign w:val="center"/>
          </w:tcPr>
          <w:p w14:paraId="2876232D">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59D39155">
            <w:pPr>
              <w:pStyle w:val="45"/>
              <w:bidi w:val="0"/>
              <w:rPr>
                <w:rFonts w:hint="default"/>
              </w:rPr>
            </w:pPr>
            <w:r>
              <w:rPr>
                <w:rFonts w:hint="default"/>
              </w:rPr>
              <w:t>氟化氢</w:t>
            </w:r>
          </w:p>
        </w:tc>
        <w:tc>
          <w:tcPr>
            <w:tcW w:w="896" w:type="pct"/>
            <w:tcBorders>
              <w:top w:val="single" w:color="000000" w:sz="4" w:space="0"/>
              <w:left w:val="single" w:color="000000" w:sz="4" w:space="0"/>
              <w:bottom w:val="single" w:color="000000" w:sz="4" w:space="0"/>
              <w:right w:val="single" w:color="000000" w:sz="4" w:space="0"/>
            </w:tcBorders>
            <w:vAlign w:val="center"/>
          </w:tcPr>
          <w:p w14:paraId="3BAF580F">
            <w:pPr>
              <w:pStyle w:val="45"/>
              <w:bidi w:val="0"/>
              <w:rPr>
                <w:rFonts w:hint="default"/>
              </w:rPr>
            </w:pPr>
            <w:r>
              <w:rPr>
                <w:rFonts w:hint="default"/>
              </w:rPr>
              <w:t>99.9%</w:t>
            </w:r>
          </w:p>
        </w:tc>
        <w:tc>
          <w:tcPr>
            <w:tcW w:w="1678" w:type="dxa"/>
            <w:tcBorders>
              <w:top w:val="single" w:color="000000" w:sz="4" w:space="0"/>
              <w:left w:val="single" w:color="000000" w:sz="4" w:space="0"/>
              <w:bottom w:val="single" w:color="000000" w:sz="4" w:space="0"/>
              <w:right w:val="single" w:color="000000" w:sz="4" w:space="0"/>
            </w:tcBorders>
            <w:vAlign w:val="center"/>
          </w:tcPr>
          <w:p w14:paraId="7D09FEF4">
            <w:pPr>
              <w:pStyle w:val="45"/>
              <w:bidi w:val="0"/>
              <w:rPr>
                <w:rFonts w:hint="default"/>
              </w:rPr>
            </w:pPr>
            <w:r>
              <w:rPr>
                <w:rFonts w:hint="eastAsia"/>
                <w:lang w:val="en-US" w:eastAsia="zh-CN"/>
              </w:rPr>
              <w:t>8291.16</w:t>
            </w:r>
          </w:p>
        </w:tc>
        <w:tc>
          <w:tcPr>
            <w:tcW w:w="838" w:type="pct"/>
            <w:tcBorders>
              <w:top w:val="single" w:color="000000" w:sz="4" w:space="0"/>
              <w:left w:val="single" w:color="000000" w:sz="4" w:space="0"/>
              <w:bottom w:val="single" w:color="000000" w:sz="4" w:space="0"/>
              <w:right w:val="single" w:color="000000" w:sz="4" w:space="0"/>
            </w:tcBorders>
            <w:vAlign w:val="center"/>
          </w:tcPr>
          <w:p w14:paraId="23C50A51">
            <w:pPr>
              <w:pStyle w:val="45"/>
              <w:bidi w:val="0"/>
              <w:rPr>
                <w:rFonts w:hint="default"/>
              </w:rPr>
            </w:pPr>
            <w:r>
              <w:rPr>
                <w:rFonts w:hint="default"/>
              </w:rPr>
              <w:t>管道</w:t>
            </w:r>
          </w:p>
        </w:tc>
      </w:tr>
      <w:tr w14:paraId="410A8B71">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243EB033">
            <w:pPr>
              <w:pStyle w:val="45"/>
              <w:bidi w:val="0"/>
              <w:rPr>
                <w:rFonts w:hint="default"/>
              </w:rPr>
            </w:pPr>
            <w:r>
              <w:rPr>
                <w:rFonts w:hint="default"/>
              </w:rPr>
              <w:t>15</w:t>
            </w:r>
          </w:p>
        </w:tc>
        <w:tc>
          <w:tcPr>
            <w:tcW w:w="587" w:type="pct"/>
            <w:vMerge w:val="continue"/>
            <w:tcBorders>
              <w:left w:val="single" w:color="000000" w:sz="4" w:space="0"/>
              <w:right w:val="single" w:color="000000" w:sz="4" w:space="0"/>
            </w:tcBorders>
            <w:vAlign w:val="center"/>
          </w:tcPr>
          <w:p w14:paraId="7166EECB">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4E7DEE08">
            <w:pPr>
              <w:pStyle w:val="45"/>
              <w:bidi w:val="0"/>
              <w:rPr>
                <w:rFonts w:hint="default"/>
              </w:rPr>
            </w:pPr>
            <w:r>
              <w:rPr>
                <w:rFonts w:hint="default"/>
              </w:rPr>
              <w:t>催化剂</w:t>
            </w:r>
          </w:p>
        </w:tc>
        <w:tc>
          <w:tcPr>
            <w:tcW w:w="896" w:type="pct"/>
            <w:tcBorders>
              <w:top w:val="single" w:color="000000" w:sz="4" w:space="0"/>
              <w:left w:val="single" w:color="000000" w:sz="4" w:space="0"/>
              <w:bottom w:val="single" w:color="000000" w:sz="4" w:space="0"/>
              <w:right w:val="single" w:color="000000" w:sz="4" w:space="0"/>
            </w:tcBorders>
            <w:vAlign w:val="center"/>
          </w:tcPr>
          <w:p w14:paraId="5149E5BA">
            <w:pPr>
              <w:pStyle w:val="45"/>
              <w:bidi w:val="0"/>
              <w:rPr>
                <w:rFonts w:hint="default"/>
              </w:rPr>
            </w:pPr>
            <w:r>
              <w:rPr>
                <w:rFonts w:hint="default"/>
              </w:rPr>
              <w:t>SbCl5</w:t>
            </w:r>
          </w:p>
        </w:tc>
        <w:tc>
          <w:tcPr>
            <w:tcW w:w="1678" w:type="dxa"/>
            <w:tcBorders>
              <w:top w:val="single" w:color="000000" w:sz="4" w:space="0"/>
              <w:left w:val="single" w:color="000000" w:sz="4" w:space="0"/>
              <w:bottom w:val="single" w:color="000000" w:sz="4" w:space="0"/>
              <w:right w:val="single" w:color="000000" w:sz="4" w:space="0"/>
            </w:tcBorders>
            <w:vAlign w:val="center"/>
          </w:tcPr>
          <w:p w14:paraId="70D8B059">
            <w:pPr>
              <w:pStyle w:val="45"/>
              <w:bidi w:val="0"/>
              <w:rPr>
                <w:rFonts w:hint="default"/>
              </w:rPr>
            </w:pPr>
            <w:r>
              <w:rPr>
                <w:rFonts w:hint="eastAsia"/>
                <w:lang w:val="en-US" w:eastAsia="zh-CN"/>
              </w:rPr>
              <w:t>0</w:t>
            </w:r>
          </w:p>
        </w:tc>
        <w:tc>
          <w:tcPr>
            <w:tcW w:w="838" w:type="pct"/>
            <w:tcBorders>
              <w:top w:val="single" w:color="000000" w:sz="4" w:space="0"/>
              <w:left w:val="single" w:color="000000" w:sz="4" w:space="0"/>
              <w:bottom w:val="single" w:color="000000" w:sz="4" w:space="0"/>
              <w:right w:val="single" w:color="000000" w:sz="4" w:space="0"/>
            </w:tcBorders>
            <w:vAlign w:val="center"/>
          </w:tcPr>
          <w:p w14:paraId="37565F6A">
            <w:pPr>
              <w:pStyle w:val="45"/>
              <w:bidi w:val="0"/>
              <w:rPr>
                <w:rFonts w:hint="default"/>
              </w:rPr>
            </w:pPr>
            <w:r>
              <w:rPr>
                <w:rFonts w:hint="default"/>
              </w:rPr>
              <w:t>铁桶</w:t>
            </w:r>
          </w:p>
        </w:tc>
      </w:tr>
      <w:tr w14:paraId="4A7BDD4B">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7A19BE43">
            <w:pPr>
              <w:pStyle w:val="45"/>
              <w:bidi w:val="0"/>
              <w:rPr>
                <w:rFonts w:hint="default"/>
              </w:rPr>
            </w:pPr>
            <w:r>
              <w:rPr>
                <w:rFonts w:hint="default"/>
              </w:rPr>
              <w:t>16</w:t>
            </w:r>
          </w:p>
        </w:tc>
        <w:tc>
          <w:tcPr>
            <w:tcW w:w="587" w:type="pct"/>
            <w:vMerge w:val="continue"/>
            <w:tcBorders>
              <w:left w:val="single" w:color="000000" w:sz="4" w:space="0"/>
              <w:bottom w:val="single" w:color="000000" w:sz="4" w:space="0"/>
              <w:right w:val="single" w:color="000000" w:sz="4" w:space="0"/>
            </w:tcBorders>
            <w:vAlign w:val="center"/>
          </w:tcPr>
          <w:p w14:paraId="208B7F73">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16322086">
            <w:pPr>
              <w:pStyle w:val="45"/>
              <w:bidi w:val="0"/>
              <w:rPr>
                <w:rFonts w:hint="default"/>
              </w:rPr>
            </w:pPr>
            <w:r>
              <w:rPr>
                <w:rFonts w:hint="default"/>
              </w:rPr>
              <w:t>NaOH溶液</w:t>
            </w:r>
          </w:p>
        </w:tc>
        <w:tc>
          <w:tcPr>
            <w:tcW w:w="896" w:type="pct"/>
            <w:tcBorders>
              <w:top w:val="single" w:color="000000" w:sz="4" w:space="0"/>
              <w:left w:val="single" w:color="000000" w:sz="4" w:space="0"/>
              <w:bottom w:val="single" w:color="000000" w:sz="4" w:space="0"/>
              <w:right w:val="single" w:color="000000" w:sz="4" w:space="0"/>
            </w:tcBorders>
            <w:vAlign w:val="center"/>
          </w:tcPr>
          <w:p w14:paraId="034E8710">
            <w:pPr>
              <w:pStyle w:val="45"/>
              <w:bidi w:val="0"/>
              <w:rPr>
                <w:rFonts w:hint="default"/>
              </w:rPr>
            </w:pPr>
            <w:r>
              <w:rPr>
                <w:rFonts w:hint="default"/>
              </w:rPr>
              <w:t>30%</w:t>
            </w:r>
          </w:p>
        </w:tc>
        <w:tc>
          <w:tcPr>
            <w:tcW w:w="1678" w:type="dxa"/>
            <w:tcBorders>
              <w:top w:val="single" w:color="000000" w:sz="4" w:space="0"/>
              <w:left w:val="single" w:color="000000" w:sz="4" w:space="0"/>
              <w:bottom w:val="single" w:color="000000" w:sz="4" w:space="0"/>
              <w:right w:val="single" w:color="000000" w:sz="4" w:space="0"/>
            </w:tcBorders>
            <w:vAlign w:val="center"/>
          </w:tcPr>
          <w:p w14:paraId="18B937EA">
            <w:pPr>
              <w:pStyle w:val="45"/>
              <w:bidi w:val="0"/>
              <w:rPr>
                <w:rFonts w:hint="default"/>
              </w:rPr>
            </w:pPr>
            <w:r>
              <w:rPr>
                <w:rFonts w:hint="eastAsia"/>
                <w:lang w:val="en-US" w:eastAsia="zh-CN"/>
              </w:rPr>
              <w:t>745.591</w:t>
            </w:r>
          </w:p>
        </w:tc>
        <w:tc>
          <w:tcPr>
            <w:tcW w:w="838" w:type="pct"/>
            <w:tcBorders>
              <w:top w:val="single" w:color="000000" w:sz="4" w:space="0"/>
              <w:left w:val="single" w:color="000000" w:sz="4" w:space="0"/>
              <w:bottom w:val="single" w:color="000000" w:sz="4" w:space="0"/>
              <w:right w:val="single" w:color="000000" w:sz="4" w:space="0"/>
            </w:tcBorders>
            <w:vAlign w:val="center"/>
          </w:tcPr>
          <w:p w14:paraId="72B2B0C1">
            <w:pPr>
              <w:pStyle w:val="45"/>
              <w:bidi w:val="0"/>
              <w:rPr>
                <w:rFonts w:hint="default"/>
              </w:rPr>
            </w:pPr>
            <w:r>
              <w:rPr>
                <w:rFonts w:hint="default"/>
              </w:rPr>
              <w:t>贮槽</w:t>
            </w:r>
          </w:p>
        </w:tc>
      </w:tr>
      <w:tr w14:paraId="0E4282E5">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4F5B8211">
            <w:pPr>
              <w:pStyle w:val="45"/>
              <w:bidi w:val="0"/>
              <w:rPr>
                <w:rFonts w:hint="default"/>
                <w:lang w:val="en-US" w:eastAsia="zh-CN"/>
              </w:rPr>
            </w:pPr>
            <w:r>
              <w:rPr>
                <w:rFonts w:hint="default"/>
              </w:rPr>
              <w:t>17</w:t>
            </w:r>
          </w:p>
        </w:tc>
        <w:tc>
          <w:tcPr>
            <w:tcW w:w="587" w:type="pct"/>
            <w:vMerge w:val="restart"/>
            <w:tcBorders>
              <w:top w:val="single" w:color="000000" w:sz="4" w:space="0"/>
              <w:left w:val="single" w:color="000000" w:sz="4" w:space="0"/>
              <w:right w:val="single" w:color="000000" w:sz="4" w:space="0"/>
            </w:tcBorders>
            <w:vAlign w:val="center"/>
          </w:tcPr>
          <w:p w14:paraId="6CA31915">
            <w:pPr>
              <w:pStyle w:val="45"/>
              <w:bidi w:val="0"/>
              <w:rPr>
                <w:rFonts w:hint="default"/>
                <w:lang w:val="en-US" w:eastAsia="zh-CN"/>
              </w:rPr>
            </w:pPr>
            <w:r>
              <w:rPr>
                <w:rFonts w:hint="default"/>
                <w:lang w:val="en-US" w:eastAsia="zh-CN"/>
              </w:rPr>
              <w:t>VDF</w:t>
            </w:r>
          </w:p>
        </w:tc>
        <w:tc>
          <w:tcPr>
            <w:tcW w:w="1309" w:type="pct"/>
            <w:tcBorders>
              <w:top w:val="single" w:color="000000" w:sz="4" w:space="0"/>
              <w:left w:val="single" w:color="000000" w:sz="4" w:space="0"/>
              <w:bottom w:val="single" w:color="000000" w:sz="4" w:space="0"/>
              <w:right w:val="single" w:color="000000" w:sz="4" w:space="0"/>
            </w:tcBorders>
            <w:vAlign w:val="center"/>
          </w:tcPr>
          <w:p w14:paraId="37D4E17A">
            <w:pPr>
              <w:pStyle w:val="45"/>
              <w:bidi w:val="0"/>
              <w:rPr>
                <w:rFonts w:hint="default"/>
              </w:rPr>
            </w:pPr>
            <w:r>
              <w:rPr>
                <w:rFonts w:hint="default"/>
              </w:rPr>
              <w:t>液氯</w:t>
            </w:r>
          </w:p>
        </w:tc>
        <w:tc>
          <w:tcPr>
            <w:tcW w:w="896" w:type="pct"/>
            <w:tcBorders>
              <w:top w:val="single" w:color="000000" w:sz="4" w:space="0"/>
              <w:left w:val="single" w:color="000000" w:sz="4" w:space="0"/>
              <w:bottom w:val="single" w:color="000000" w:sz="4" w:space="0"/>
              <w:right w:val="single" w:color="000000" w:sz="4" w:space="0"/>
            </w:tcBorders>
            <w:vAlign w:val="center"/>
          </w:tcPr>
          <w:p w14:paraId="4672788C">
            <w:pPr>
              <w:pStyle w:val="45"/>
              <w:bidi w:val="0"/>
              <w:rPr>
                <w:rFonts w:hint="default"/>
              </w:rPr>
            </w:pPr>
            <w:r>
              <w:rPr>
                <w:rFonts w:hint="default"/>
                <w:lang w:val="en-US" w:eastAsia="zh-CN"/>
              </w:rPr>
              <w:t>&gt;99%</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BA79">
            <w:pPr>
              <w:pStyle w:val="45"/>
              <w:bidi w:val="0"/>
              <w:rPr>
                <w:rFonts w:hint="default"/>
                <w:lang w:val="en-US" w:eastAsia="zh-CN"/>
              </w:rPr>
            </w:pPr>
            <w:r>
              <w:rPr>
                <w:rFonts w:hint="eastAsia"/>
                <w:lang w:val="en-US" w:eastAsia="zh-CN"/>
              </w:rPr>
              <w:t>1080.706</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E1818">
            <w:pPr>
              <w:pStyle w:val="45"/>
              <w:bidi w:val="0"/>
              <w:rPr>
                <w:rFonts w:hint="default"/>
                <w:lang w:val="en-US" w:eastAsia="zh-CN"/>
              </w:rPr>
            </w:pPr>
            <w:r>
              <w:rPr>
                <w:rFonts w:hint="default"/>
                <w:lang w:val="en-US" w:eastAsia="zh-CN"/>
              </w:rPr>
              <w:t>移动式tank罐</w:t>
            </w:r>
          </w:p>
        </w:tc>
      </w:tr>
      <w:tr w14:paraId="025411C6">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4C86FA5E">
            <w:pPr>
              <w:pStyle w:val="45"/>
              <w:bidi w:val="0"/>
              <w:rPr>
                <w:rFonts w:hint="default"/>
                <w:lang w:val="en-US" w:eastAsia="zh-CN"/>
              </w:rPr>
            </w:pPr>
            <w:r>
              <w:rPr>
                <w:rFonts w:hint="default"/>
                <w:lang w:val="en-US" w:eastAsia="zh-CN"/>
              </w:rPr>
              <w:t>18</w:t>
            </w:r>
          </w:p>
        </w:tc>
        <w:tc>
          <w:tcPr>
            <w:tcW w:w="587" w:type="pct"/>
            <w:vMerge w:val="continue"/>
            <w:tcBorders>
              <w:left w:val="single" w:color="000000" w:sz="4" w:space="0"/>
              <w:right w:val="single" w:color="000000" w:sz="4" w:space="0"/>
            </w:tcBorders>
            <w:vAlign w:val="center"/>
          </w:tcPr>
          <w:p w14:paraId="460B5E9A">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29720C09">
            <w:pPr>
              <w:pStyle w:val="45"/>
              <w:bidi w:val="0"/>
              <w:rPr>
                <w:rFonts w:hint="default"/>
              </w:rPr>
            </w:pPr>
            <w:r>
              <w:rPr>
                <w:rFonts w:hint="default"/>
              </w:rPr>
              <w:t>F152a</w:t>
            </w:r>
          </w:p>
        </w:tc>
        <w:tc>
          <w:tcPr>
            <w:tcW w:w="896" w:type="pct"/>
            <w:tcBorders>
              <w:top w:val="single" w:color="000000" w:sz="4" w:space="0"/>
              <w:left w:val="single" w:color="000000" w:sz="4" w:space="0"/>
              <w:bottom w:val="single" w:color="000000" w:sz="4" w:space="0"/>
              <w:right w:val="single" w:color="000000" w:sz="4" w:space="0"/>
            </w:tcBorders>
            <w:vAlign w:val="center"/>
          </w:tcPr>
          <w:p w14:paraId="623129D0">
            <w:pPr>
              <w:pStyle w:val="45"/>
              <w:bidi w:val="0"/>
              <w:rPr>
                <w:rFonts w:hint="default"/>
              </w:rPr>
            </w:pPr>
            <w:r>
              <w:rPr>
                <w:rFonts w:hint="default"/>
                <w:lang w:val="en-US" w:eastAsia="zh-CN"/>
              </w:rPr>
              <w:t>&gt;99%</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A4D2">
            <w:pPr>
              <w:pStyle w:val="45"/>
              <w:bidi w:val="0"/>
              <w:rPr>
                <w:rFonts w:hint="default"/>
                <w:lang w:val="en-US" w:eastAsia="zh-CN"/>
              </w:rPr>
            </w:pPr>
            <w:r>
              <w:rPr>
                <w:rFonts w:hint="eastAsia"/>
                <w:lang w:val="en-US" w:eastAsia="zh-CN"/>
              </w:rPr>
              <w:t>0</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BB9A">
            <w:pPr>
              <w:pStyle w:val="45"/>
              <w:bidi w:val="0"/>
              <w:rPr>
                <w:rFonts w:hint="default"/>
                <w:lang w:val="en-US" w:eastAsia="zh-CN"/>
              </w:rPr>
            </w:pPr>
            <w:r>
              <w:rPr>
                <w:rFonts w:hint="default"/>
                <w:lang w:val="en-US" w:eastAsia="zh-CN"/>
              </w:rPr>
              <w:t>储罐</w:t>
            </w:r>
          </w:p>
        </w:tc>
      </w:tr>
      <w:tr w14:paraId="0EE0DDFF">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6CBB8369">
            <w:pPr>
              <w:pStyle w:val="45"/>
              <w:bidi w:val="0"/>
              <w:rPr>
                <w:rFonts w:hint="default"/>
                <w:lang w:val="en-US" w:eastAsia="zh-CN"/>
              </w:rPr>
            </w:pPr>
            <w:r>
              <w:rPr>
                <w:rFonts w:hint="default"/>
                <w:lang w:val="en-US" w:eastAsia="zh-CN"/>
              </w:rPr>
              <w:t>19</w:t>
            </w:r>
          </w:p>
        </w:tc>
        <w:tc>
          <w:tcPr>
            <w:tcW w:w="587" w:type="pct"/>
            <w:vMerge w:val="continue"/>
            <w:tcBorders>
              <w:left w:val="single" w:color="000000" w:sz="4" w:space="0"/>
              <w:right w:val="single" w:color="000000" w:sz="4" w:space="0"/>
            </w:tcBorders>
            <w:vAlign w:val="center"/>
          </w:tcPr>
          <w:p w14:paraId="6209EBE2">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74999B6E">
            <w:pPr>
              <w:pStyle w:val="45"/>
              <w:bidi w:val="0"/>
              <w:rPr>
                <w:rFonts w:hint="default"/>
              </w:rPr>
            </w:pPr>
            <w:r>
              <w:rPr>
                <w:rFonts w:hint="default"/>
              </w:rPr>
              <w:t>NaOH溶液</w:t>
            </w:r>
          </w:p>
        </w:tc>
        <w:tc>
          <w:tcPr>
            <w:tcW w:w="896" w:type="pct"/>
            <w:tcBorders>
              <w:top w:val="single" w:color="000000" w:sz="4" w:space="0"/>
              <w:left w:val="single" w:color="000000" w:sz="4" w:space="0"/>
              <w:bottom w:val="single" w:color="000000" w:sz="4" w:space="0"/>
              <w:right w:val="single" w:color="000000" w:sz="4" w:space="0"/>
            </w:tcBorders>
            <w:vAlign w:val="center"/>
          </w:tcPr>
          <w:p w14:paraId="52AF10F0">
            <w:pPr>
              <w:pStyle w:val="45"/>
              <w:bidi w:val="0"/>
              <w:rPr>
                <w:rFonts w:hint="default"/>
                <w:lang w:val="en-US" w:eastAsia="zh-CN"/>
              </w:rPr>
            </w:pPr>
            <w:r>
              <w:rPr>
                <w:rFonts w:hint="default"/>
                <w:lang w:val="en-US" w:eastAsia="zh-CN"/>
              </w:rPr>
              <w:t>15%</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6862">
            <w:pPr>
              <w:pStyle w:val="45"/>
              <w:bidi w:val="0"/>
              <w:rPr>
                <w:rFonts w:hint="default"/>
                <w:lang w:val="en-US" w:eastAsia="zh-CN"/>
              </w:rPr>
            </w:pPr>
            <w:r>
              <w:rPr>
                <w:rFonts w:hint="eastAsia"/>
                <w:lang w:val="en-US" w:eastAsia="zh-CN"/>
              </w:rPr>
              <w:t>281.6</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0694E">
            <w:pPr>
              <w:pStyle w:val="45"/>
              <w:bidi w:val="0"/>
              <w:rPr>
                <w:rFonts w:hint="default"/>
                <w:lang w:val="en-US" w:eastAsia="zh-CN"/>
              </w:rPr>
            </w:pPr>
            <w:r>
              <w:rPr>
                <w:rFonts w:hint="default"/>
                <w:lang w:val="en-US" w:eastAsia="zh-CN"/>
              </w:rPr>
              <w:t>储罐</w:t>
            </w:r>
          </w:p>
        </w:tc>
      </w:tr>
      <w:tr w14:paraId="24A1C051">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232C6CDB">
            <w:pPr>
              <w:pStyle w:val="45"/>
              <w:bidi w:val="0"/>
              <w:rPr>
                <w:rFonts w:hint="default"/>
                <w:lang w:val="en-US" w:eastAsia="zh-CN"/>
              </w:rPr>
            </w:pPr>
            <w:r>
              <w:rPr>
                <w:rFonts w:hint="default"/>
                <w:lang w:val="en-US" w:eastAsia="zh-CN"/>
              </w:rPr>
              <w:t>20</w:t>
            </w:r>
          </w:p>
        </w:tc>
        <w:tc>
          <w:tcPr>
            <w:tcW w:w="587" w:type="pct"/>
            <w:vMerge w:val="continue"/>
            <w:tcBorders>
              <w:left w:val="single" w:color="000000" w:sz="4" w:space="0"/>
              <w:right w:val="single" w:color="000000" w:sz="4" w:space="0"/>
            </w:tcBorders>
            <w:vAlign w:val="center"/>
          </w:tcPr>
          <w:p w14:paraId="7972C750">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7685E605">
            <w:pPr>
              <w:pStyle w:val="45"/>
              <w:bidi w:val="0"/>
              <w:rPr>
                <w:rFonts w:hint="default"/>
              </w:rPr>
            </w:pPr>
            <w:r>
              <w:rPr>
                <w:rFonts w:hint="default"/>
              </w:rPr>
              <w:t>CaCl2溶液</w:t>
            </w:r>
          </w:p>
        </w:tc>
        <w:tc>
          <w:tcPr>
            <w:tcW w:w="896" w:type="pct"/>
            <w:tcBorders>
              <w:top w:val="single" w:color="000000" w:sz="4" w:space="0"/>
              <w:left w:val="single" w:color="000000" w:sz="4" w:space="0"/>
              <w:bottom w:val="single" w:color="000000" w:sz="4" w:space="0"/>
              <w:right w:val="single" w:color="000000" w:sz="4" w:space="0"/>
            </w:tcBorders>
            <w:vAlign w:val="center"/>
          </w:tcPr>
          <w:p w14:paraId="2FC1EE96">
            <w:pPr>
              <w:pStyle w:val="45"/>
              <w:bidi w:val="0"/>
              <w:rPr>
                <w:rFonts w:hint="default"/>
                <w:lang w:val="en-US" w:eastAsia="zh-CN"/>
              </w:rPr>
            </w:pPr>
            <w:r>
              <w:rPr>
                <w:rFonts w:hint="default"/>
                <w:lang w:val="en-US" w:eastAsia="zh-CN"/>
              </w:rPr>
              <w:t>36%</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DD51">
            <w:pPr>
              <w:pStyle w:val="45"/>
              <w:bidi w:val="0"/>
              <w:rPr>
                <w:rFonts w:hint="default"/>
                <w:lang w:val="en-US" w:eastAsia="zh-CN"/>
              </w:rPr>
            </w:pPr>
            <w:r>
              <w:rPr>
                <w:rFonts w:hint="eastAsia"/>
                <w:lang w:val="en-US" w:eastAsia="zh-CN"/>
              </w:rPr>
              <w:t>0.45</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6CC4">
            <w:pPr>
              <w:pStyle w:val="45"/>
              <w:bidi w:val="0"/>
              <w:rPr>
                <w:rFonts w:hint="default"/>
                <w:lang w:val="en-US" w:eastAsia="zh-CN"/>
              </w:rPr>
            </w:pPr>
            <w:r>
              <w:rPr>
                <w:rFonts w:hint="default"/>
                <w:lang w:val="en-US" w:eastAsia="zh-CN"/>
              </w:rPr>
              <w:t>200kg桶装</w:t>
            </w:r>
          </w:p>
        </w:tc>
      </w:tr>
      <w:tr w14:paraId="7C7AC6DE">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4AFF74E8">
            <w:pPr>
              <w:pStyle w:val="45"/>
              <w:bidi w:val="0"/>
              <w:rPr>
                <w:rFonts w:hint="default"/>
                <w:lang w:val="en-US" w:eastAsia="zh-CN"/>
              </w:rPr>
            </w:pPr>
            <w:r>
              <w:rPr>
                <w:rFonts w:hint="default"/>
                <w:lang w:val="en-US" w:eastAsia="zh-CN"/>
              </w:rPr>
              <w:t>21</w:t>
            </w:r>
          </w:p>
        </w:tc>
        <w:tc>
          <w:tcPr>
            <w:tcW w:w="587" w:type="pct"/>
            <w:vMerge w:val="continue"/>
            <w:tcBorders>
              <w:left w:val="single" w:color="000000" w:sz="4" w:space="0"/>
              <w:right w:val="single" w:color="000000" w:sz="4" w:space="0"/>
            </w:tcBorders>
            <w:vAlign w:val="center"/>
          </w:tcPr>
          <w:p w14:paraId="1D93B779">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1067D45F">
            <w:pPr>
              <w:pStyle w:val="45"/>
              <w:bidi w:val="0"/>
              <w:rPr>
                <w:rFonts w:hint="default"/>
              </w:rPr>
            </w:pPr>
            <w:r>
              <w:rPr>
                <w:rFonts w:hint="default"/>
              </w:rPr>
              <w:t>丙酮</w:t>
            </w:r>
          </w:p>
        </w:tc>
        <w:tc>
          <w:tcPr>
            <w:tcW w:w="896" w:type="pct"/>
            <w:tcBorders>
              <w:top w:val="single" w:color="000000" w:sz="4" w:space="0"/>
              <w:left w:val="single" w:color="000000" w:sz="4" w:space="0"/>
              <w:bottom w:val="single" w:color="000000" w:sz="4" w:space="0"/>
              <w:right w:val="single" w:color="000000" w:sz="4" w:space="0"/>
            </w:tcBorders>
            <w:vAlign w:val="center"/>
          </w:tcPr>
          <w:p w14:paraId="5A995147">
            <w:pPr>
              <w:pStyle w:val="45"/>
              <w:bidi w:val="0"/>
              <w:rPr>
                <w:rFonts w:hint="default"/>
              </w:rPr>
            </w:pPr>
            <w:r>
              <w:rPr>
                <w:rFonts w:hint="default"/>
                <w:lang w:val="en-US" w:eastAsia="zh-CN"/>
              </w:rPr>
              <w:t>&gt;99%</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7FFF">
            <w:pPr>
              <w:pStyle w:val="45"/>
              <w:bidi w:val="0"/>
              <w:rPr>
                <w:rFonts w:hint="default"/>
                <w:lang w:val="en-US" w:eastAsia="zh-CN"/>
              </w:rPr>
            </w:pPr>
            <w:r>
              <w:rPr>
                <w:rFonts w:hint="eastAsia"/>
                <w:lang w:val="en-US" w:eastAsia="zh-CN"/>
              </w:rPr>
              <w:t>2.56</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A4ABE">
            <w:pPr>
              <w:pStyle w:val="45"/>
              <w:bidi w:val="0"/>
              <w:rPr>
                <w:rFonts w:hint="default"/>
                <w:lang w:val="en-US" w:eastAsia="zh-CN"/>
              </w:rPr>
            </w:pPr>
            <w:r>
              <w:rPr>
                <w:rFonts w:hint="default"/>
                <w:lang w:val="en-US" w:eastAsia="zh-CN"/>
              </w:rPr>
              <w:t>200kg桶装</w:t>
            </w:r>
          </w:p>
        </w:tc>
      </w:tr>
      <w:tr w14:paraId="0E7EB4EF">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5A4F36B4">
            <w:pPr>
              <w:pStyle w:val="45"/>
              <w:bidi w:val="0"/>
              <w:rPr>
                <w:rFonts w:hint="default"/>
                <w:lang w:val="en-US" w:eastAsia="zh-CN"/>
              </w:rPr>
            </w:pPr>
            <w:r>
              <w:rPr>
                <w:rFonts w:hint="default"/>
                <w:lang w:val="en-US" w:eastAsia="zh-CN"/>
              </w:rPr>
              <w:t>22</w:t>
            </w:r>
          </w:p>
        </w:tc>
        <w:tc>
          <w:tcPr>
            <w:tcW w:w="587" w:type="pct"/>
            <w:vMerge w:val="continue"/>
            <w:tcBorders>
              <w:left w:val="single" w:color="000000" w:sz="4" w:space="0"/>
              <w:bottom w:val="single" w:color="000000" w:sz="4" w:space="0"/>
              <w:right w:val="single" w:color="000000" w:sz="4" w:space="0"/>
            </w:tcBorders>
            <w:vAlign w:val="center"/>
          </w:tcPr>
          <w:p w14:paraId="478C85C9">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1AC6CD13">
            <w:pPr>
              <w:pStyle w:val="45"/>
              <w:bidi w:val="0"/>
              <w:rPr>
                <w:rFonts w:hint="default"/>
              </w:rPr>
            </w:pPr>
            <w:r>
              <w:rPr>
                <w:rFonts w:hint="default"/>
              </w:rPr>
              <w:t>分子筛</w:t>
            </w:r>
          </w:p>
        </w:tc>
        <w:tc>
          <w:tcPr>
            <w:tcW w:w="896" w:type="pct"/>
            <w:tcBorders>
              <w:top w:val="single" w:color="000000" w:sz="4" w:space="0"/>
              <w:left w:val="single" w:color="000000" w:sz="4" w:space="0"/>
              <w:bottom w:val="single" w:color="000000" w:sz="4" w:space="0"/>
              <w:right w:val="single" w:color="000000" w:sz="4" w:space="0"/>
            </w:tcBorders>
            <w:vAlign w:val="center"/>
          </w:tcPr>
          <w:p w14:paraId="17606F47">
            <w:pPr>
              <w:pStyle w:val="45"/>
              <w:bidi w:val="0"/>
              <w:rPr>
                <w:rFonts w:hint="default"/>
              </w:rPr>
            </w:pPr>
            <w:r>
              <w:rPr>
                <w:rFonts w:hint="default"/>
                <w:lang w:val="en-US" w:eastAsia="zh-CN"/>
              </w:rPr>
              <w:t>Φ4~8mm</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B4B3">
            <w:pPr>
              <w:pStyle w:val="45"/>
              <w:bidi w:val="0"/>
              <w:rPr>
                <w:rFonts w:hint="default"/>
                <w:lang w:val="en-US" w:eastAsia="zh-CN"/>
              </w:rPr>
            </w:pPr>
            <w:r>
              <w:rPr>
                <w:rFonts w:hint="eastAsia"/>
                <w:lang w:val="en-US" w:eastAsia="zh-CN"/>
              </w:rPr>
              <w:t>12.6</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C43A2">
            <w:pPr>
              <w:pStyle w:val="45"/>
              <w:bidi w:val="0"/>
              <w:rPr>
                <w:rFonts w:hint="default"/>
                <w:lang w:val="en-US" w:eastAsia="zh-CN"/>
              </w:rPr>
            </w:pPr>
            <w:r>
              <w:rPr>
                <w:rFonts w:hint="default"/>
                <w:lang w:val="en-US" w:eastAsia="zh-CN"/>
              </w:rPr>
              <w:t>200kg桶装</w:t>
            </w:r>
          </w:p>
        </w:tc>
      </w:tr>
      <w:tr w14:paraId="5C0EFB4E">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4E330A4B">
            <w:pPr>
              <w:pStyle w:val="45"/>
              <w:bidi w:val="0"/>
              <w:rPr>
                <w:rFonts w:hint="default"/>
                <w:lang w:val="en-US" w:eastAsia="zh-CN"/>
              </w:rPr>
            </w:pPr>
            <w:r>
              <w:rPr>
                <w:rFonts w:hint="default"/>
                <w:lang w:val="en-US" w:eastAsia="zh-CN"/>
              </w:rPr>
              <w:t>23</w:t>
            </w:r>
          </w:p>
        </w:tc>
        <w:tc>
          <w:tcPr>
            <w:tcW w:w="587" w:type="pct"/>
            <w:vMerge w:val="restart"/>
            <w:tcBorders>
              <w:top w:val="single" w:color="000000" w:sz="4" w:space="0"/>
              <w:left w:val="single" w:color="000000" w:sz="4" w:space="0"/>
              <w:right w:val="single" w:color="000000" w:sz="4" w:space="0"/>
            </w:tcBorders>
            <w:vAlign w:val="center"/>
          </w:tcPr>
          <w:p w14:paraId="3AFE7FAA">
            <w:pPr>
              <w:pStyle w:val="45"/>
              <w:bidi w:val="0"/>
              <w:rPr>
                <w:rFonts w:hint="default"/>
                <w:lang w:val="en-US" w:eastAsia="zh-CN"/>
              </w:rPr>
            </w:pPr>
            <w:r>
              <w:rPr>
                <w:rFonts w:hint="default"/>
                <w:lang w:val="en-US" w:eastAsia="zh-CN"/>
              </w:rPr>
              <w:t>F141b</w:t>
            </w:r>
          </w:p>
        </w:tc>
        <w:tc>
          <w:tcPr>
            <w:tcW w:w="1309" w:type="pct"/>
            <w:tcBorders>
              <w:top w:val="single" w:color="000000" w:sz="4" w:space="0"/>
              <w:left w:val="single" w:color="000000" w:sz="4" w:space="0"/>
              <w:bottom w:val="single" w:color="000000" w:sz="4" w:space="0"/>
              <w:right w:val="single" w:color="000000" w:sz="4" w:space="0"/>
            </w:tcBorders>
            <w:vAlign w:val="center"/>
          </w:tcPr>
          <w:p w14:paraId="4D0D54C0">
            <w:pPr>
              <w:pStyle w:val="45"/>
              <w:bidi w:val="0"/>
              <w:rPr>
                <w:rFonts w:hint="eastAsia"/>
                <w:lang w:eastAsia="zh-CN"/>
              </w:rPr>
            </w:pPr>
            <w:r>
              <w:rPr>
                <w:rFonts w:hint="eastAsia"/>
                <w:lang w:val="en-US" w:eastAsia="zh-CN"/>
              </w:rPr>
              <w:t>偏二氯乙烯</w:t>
            </w:r>
          </w:p>
        </w:tc>
        <w:tc>
          <w:tcPr>
            <w:tcW w:w="896" w:type="pct"/>
            <w:tcBorders>
              <w:top w:val="single" w:color="000000" w:sz="4" w:space="0"/>
              <w:left w:val="single" w:color="000000" w:sz="4" w:space="0"/>
              <w:bottom w:val="single" w:color="000000" w:sz="4" w:space="0"/>
              <w:right w:val="single" w:color="000000" w:sz="4" w:space="0"/>
            </w:tcBorders>
            <w:vAlign w:val="center"/>
          </w:tcPr>
          <w:p w14:paraId="657D72FE">
            <w:pPr>
              <w:pStyle w:val="45"/>
              <w:bidi w:val="0"/>
              <w:rPr>
                <w:rFonts w:hint="default"/>
              </w:rPr>
            </w:pPr>
            <w:r>
              <w:rPr>
                <w:rFonts w:hint="default"/>
              </w:rPr>
              <w:t>99.5%</w:t>
            </w:r>
          </w:p>
        </w:tc>
        <w:tc>
          <w:tcPr>
            <w:tcW w:w="1678" w:type="dxa"/>
            <w:tcBorders>
              <w:top w:val="single" w:color="000000" w:sz="4" w:space="0"/>
              <w:left w:val="single" w:color="000000" w:sz="4" w:space="0"/>
              <w:bottom w:val="single" w:color="000000" w:sz="4" w:space="0"/>
              <w:right w:val="single" w:color="000000" w:sz="4" w:space="0"/>
            </w:tcBorders>
            <w:vAlign w:val="center"/>
          </w:tcPr>
          <w:p w14:paraId="21EF2211">
            <w:pPr>
              <w:pStyle w:val="45"/>
              <w:bidi w:val="0"/>
              <w:rPr>
                <w:rFonts w:hint="default"/>
              </w:rPr>
            </w:pPr>
            <w:r>
              <w:rPr>
                <w:rFonts w:hint="eastAsia"/>
                <w:lang w:val="en-US" w:eastAsia="zh-CN"/>
              </w:rPr>
              <w:t>5432.68</w:t>
            </w:r>
          </w:p>
        </w:tc>
        <w:tc>
          <w:tcPr>
            <w:tcW w:w="838" w:type="pct"/>
            <w:tcBorders>
              <w:top w:val="single" w:color="000000" w:sz="4" w:space="0"/>
              <w:left w:val="single" w:color="000000" w:sz="4" w:space="0"/>
              <w:bottom w:val="single" w:color="000000" w:sz="4" w:space="0"/>
              <w:right w:val="single" w:color="000000" w:sz="4" w:space="0"/>
            </w:tcBorders>
            <w:vAlign w:val="center"/>
          </w:tcPr>
          <w:p w14:paraId="00E6F598">
            <w:pPr>
              <w:pStyle w:val="45"/>
              <w:bidi w:val="0"/>
              <w:rPr>
                <w:rFonts w:hint="default"/>
              </w:rPr>
            </w:pPr>
            <w:r>
              <w:rPr>
                <w:rFonts w:hint="default"/>
              </w:rPr>
              <w:t>贮槽</w:t>
            </w:r>
          </w:p>
        </w:tc>
      </w:tr>
      <w:tr w14:paraId="4D938BA0">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112EF24B">
            <w:pPr>
              <w:pStyle w:val="45"/>
              <w:bidi w:val="0"/>
              <w:rPr>
                <w:rFonts w:hint="default"/>
                <w:lang w:val="en-US" w:eastAsia="zh-CN"/>
              </w:rPr>
            </w:pPr>
            <w:r>
              <w:rPr>
                <w:rFonts w:hint="default"/>
                <w:lang w:val="en-US" w:eastAsia="zh-CN"/>
              </w:rPr>
              <w:t>24</w:t>
            </w:r>
          </w:p>
        </w:tc>
        <w:tc>
          <w:tcPr>
            <w:tcW w:w="587" w:type="pct"/>
            <w:vMerge w:val="continue"/>
            <w:tcBorders>
              <w:left w:val="single" w:color="000000" w:sz="4" w:space="0"/>
              <w:right w:val="single" w:color="000000" w:sz="4" w:space="0"/>
            </w:tcBorders>
            <w:vAlign w:val="center"/>
          </w:tcPr>
          <w:p w14:paraId="65910917">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2F2FD5FB">
            <w:pPr>
              <w:pStyle w:val="45"/>
              <w:bidi w:val="0"/>
              <w:rPr>
                <w:rFonts w:hint="default"/>
              </w:rPr>
            </w:pPr>
            <w:r>
              <w:rPr>
                <w:rFonts w:hint="default"/>
              </w:rPr>
              <w:t>氟化氢</w:t>
            </w:r>
          </w:p>
        </w:tc>
        <w:tc>
          <w:tcPr>
            <w:tcW w:w="896" w:type="pct"/>
            <w:tcBorders>
              <w:top w:val="single" w:color="000000" w:sz="4" w:space="0"/>
              <w:left w:val="single" w:color="000000" w:sz="4" w:space="0"/>
              <w:bottom w:val="single" w:color="000000" w:sz="4" w:space="0"/>
              <w:right w:val="single" w:color="000000" w:sz="4" w:space="0"/>
            </w:tcBorders>
            <w:vAlign w:val="center"/>
          </w:tcPr>
          <w:p w14:paraId="5ACCABE1">
            <w:pPr>
              <w:pStyle w:val="45"/>
              <w:bidi w:val="0"/>
              <w:rPr>
                <w:rFonts w:hint="default"/>
              </w:rPr>
            </w:pPr>
            <w:r>
              <w:rPr>
                <w:rFonts w:hint="default"/>
              </w:rPr>
              <w:t>99.8%</w:t>
            </w:r>
          </w:p>
        </w:tc>
        <w:tc>
          <w:tcPr>
            <w:tcW w:w="1678" w:type="dxa"/>
            <w:tcBorders>
              <w:top w:val="single" w:color="000000" w:sz="4" w:space="0"/>
              <w:left w:val="single" w:color="000000" w:sz="4" w:space="0"/>
              <w:bottom w:val="single" w:color="000000" w:sz="4" w:space="0"/>
              <w:right w:val="single" w:color="000000" w:sz="4" w:space="0"/>
            </w:tcBorders>
            <w:vAlign w:val="center"/>
          </w:tcPr>
          <w:p w14:paraId="327B4814">
            <w:pPr>
              <w:pStyle w:val="45"/>
              <w:bidi w:val="0"/>
              <w:rPr>
                <w:rFonts w:hint="default"/>
                <w:lang w:val="en-US" w:eastAsia="zh-CN"/>
              </w:rPr>
            </w:pPr>
            <w:r>
              <w:rPr>
                <w:rFonts w:hint="eastAsia"/>
                <w:lang w:val="en-US" w:eastAsia="zh-CN"/>
              </w:rPr>
              <w:t>1178.06</w:t>
            </w:r>
          </w:p>
        </w:tc>
        <w:tc>
          <w:tcPr>
            <w:tcW w:w="838" w:type="pct"/>
            <w:tcBorders>
              <w:top w:val="single" w:color="000000" w:sz="4" w:space="0"/>
              <w:left w:val="single" w:color="000000" w:sz="4" w:space="0"/>
              <w:bottom w:val="single" w:color="000000" w:sz="4" w:space="0"/>
              <w:right w:val="single" w:color="000000" w:sz="4" w:space="0"/>
            </w:tcBorders>
            <w:vAlign w:val="center"/>
          </w:tcPr>
          <w:p w14:paraId="413D21F2">
            <w:pPr>
              <w:pStyle w:val="45"/>
              <w:bidi w:val="0"/>
              <w:rPr>
                <w:rFonts w:hint="default"/>
                <w:lang w:val="en-US" w:eastAsia="zh-CN"/>
              </w:rPr>
            </w:pPr>
            <w:r>
              <w:rPr>
                <w:rFonts w:hint="default"/>
                <w:lang w:val="en-US" w:eastAsia="zh-CN"/>
              </w:rPr>
              <w:t>管道</w:t>
            </w:r>
          </w:p>
        </w:tc>
      </w:tr>
      <w:tr w14:paraId="48E8FA63">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000000" w:sz="4" w:space="0"/>
              <w:right w:val="single" w:color="000000" w:sz="4" w:space="0"/>
            </w:tcBorders>
            <w:vAlign w:val="center"/>
          </w:tcPr>
          <w:p w14:paraId="4E87A53A">
            <w:pPr>
              <w:pStyle w:val="45"/>
              <w:bidi w:val="0"/>
              <w:rPr>
                <w:rFonts w:hint="default"/>
                <w:lang w:val="en-US" w:eastAsia="zh-CN"/>
              </w:rPr>
            </w:pPr>
            <w:r>
              <w:rPr>
                <w:rFonts w:hint="default"/>
                <w:lang w:val="en-US" w:eastAsia="zh-CN"/>
              </w:rPr>
              <w:t>25</w:t>
            </w:r>
          </w:p>
        </w:tc>
        <w:tc>
          <w:tcPr>
            <w:tcW w:w="587" w:type="pct"/>
            <w:vMerge w:val="continue"/>
            <w:tcBorders>
              <w:left w:val="single" w:color="000000" w:sz="4" w:space="0"/>
              <w:right w:val="single" w:color="000000" w:sz="4" w:space="0"/>
            </w:tcBorders>
            <w:vAlign w:val="center"/>
          </w:tcPr>
          <w:p w14:paraId="59973026">
            <w:pPr>
              <w:pStyle w:val="45"/>
              <w:bidi w:val="0"/>
              <w:rPr>
                <w:rFonts w:hint="default"/>
              </w:rPr>
            </w:pPr>
          </w:p>
        </w:tc>
        <w:tc>
          <w:tcPr>
            <w:tcW w:w="1309" w:type="pct"/>
            <w:tcBorders>
              <w:top w:val="single" w:color="000000" w:sz="4" w:space="0"/>
              <w:left w:val="single" w:color="000000" w:sz="4" w:space="0"/>
              <w:bottom w:val="single" w:color="000000" w:sz="4" w:space="0"/>
              <w:right w:val="single" w:color="000000" w:sz="4" w:space="0"/>
            </w:tcBorders>
            <w:vAlign w:val="center"/>
          </w:tcPr>
          <w:p w14:paraId="702E182C">
            <w:pPr>
              <w:pStyle w:val="45"/>
              <w:bidi w:val="0"/>
              <w:rPr>
                <w:rFonts w:hint="default"/>
              </w:rPr>
            </w:pPr>
            <w:r>
              <w:rPr>
                <w:rFonts w:hint="default"/>
              </w:rPr>
              <w:t>液碱</w:t>
            </w:r>
          </w:p>
        </w:tc>
        <w:tc>
          <w:tcPr>
            <w:tcW w:w="896" w:type="pct"/>
            <w:tcBorders>
              <w:top w:val="single" w:color="000000" w:sz="4" w:space="0"/>
              <w:left w:val="single" w:color="000000" w:sz="4" w:space="0"/>
              <w:bottom w:val="single" w:color="000000" w:sz="4" w:space="0"/>
              <w:right w:val="single" w:color="000000" w:sz="4" w:space="0"/>
            </w:tcBorders>
            <w:vAlign w:val="center"/>
          </w:tcPr>
          <w:p w14:paraId="3056C9A5">
            <w:pPr>
              <w:pStyle w:val="45"/>
              <w:bidi w:val="0"/>
              <w:rPr>
                <w:rFonts w:hint="default"/>
              </w:rPr>
            </w:pPr>
            <w:r>
              <w:rPr>
                <w:rFonts w:hint="default"/>
              </w:rPr>
              <w:t>30%</w:t>
            </w:r>
          </w:p>
        </w:tc>
        <w:tc>
          <w:tcPr>
            <w:tcW w:w="1678" w:type="dxa"/>
            <w:tcBorders>
              <w:top w:val="single" w:color="000000" w:sz="4" w:space="0"/>
              <w:left w:val="single" w:color="000000" w:sz="4" w:space="0"/>
              <w:bottom w:val="single" w:color="000000" w:sz="4" w:space="0"/>
              <w:right w:val="single" w:color="000000" w:sz="4" w:space="0"/>
            </w:tcBorders>
            <w:vAlign w:val="center"/>
          </w:tcPr>
          <w:p w14:paraId="3F8310EB">
            <w:pPr>
              <w:pStyle w:val="45"/>
              <w:bidi w:val="0"/>
              <w:rPr>
                <w:rFonts w:hint="default"/>
              </w:rPr>
            </w:pPr>
            <w:r>
              <w:rPr>
                <w:rFonts w:hint="eastAsia"/>
                <w:lang w:val="en-US" w:eastAsia="zh-CN"/>
              </w:rPr>
              <w:t>24.77</w:t>
            </w:r>
          </w:p>
        </w:tc>
        <w:tc>
          <w:tcPr>
            <w:tcW w:w="838" w:type="pct"/>
            <w:tcBorders>
              <w:top w:val="single" w:color="000000" w:sz="4" w:space="0"/>
              <w:left w:val="single" w:color="000000" w:sz="4" w:space="0"/>
              <w:bottom w:val="single" w:color="000000" w:sz="4" w:space="0"/>
              <w:right w:val="single" w:color="000000" w:sz="4" w:space="0"/>
            </w:tcBorders>
            <w:vAlign w:val="center"/>
          </w:tcPr>
          <w:p w14:paraId="18F1E2C8">
            <w:pPr>
              <w:pStyle w:val="45"/>
              <w:bidi w:val="0"/>
              <w:rPr>
                <w:rFonts w:hint="default"/>
              </w:rPr>
            </w:pPr>
            <w:r>
              <w:rPr>
                <w:rFonts w:hint="default"/>
              </w:rPr>
              <w:t>贮槽</w:t>
            </w:r>
          </w:p>
        </w:tc>
      </w:tr>
      <w:tr w14:paraId="4EDB1EE7">
        <w:tblPrEx>
          <w:tblCellMar>
            <w:top w:w="0" w:type="dxa"/>
            <w:left w:w="0" w:type="dxa"/>
            <w:bottom w:w="0" w:type="dxa"/>
            <w:right w:w="0" w:type="dxa"/>
          </w:tblCellMar>
        </w:tblPrEx>
        <w:trPr>
          <w:trHeight w:val="340" w:hRule="atLeast"/>
          <w:jc w:val="center"/>
        </w:trPr>
        <w:tc>
          <w:tcPr>
            <w:tcW w:w="529" w:type="pct"/>
            <w:tcBorders>
              <w:top w:val="single" w:color="000000" w:sz="4" w:space="0"/>
              <w:left w:val="single" w:color="000000" w:sz="4" w:space="0"/>
              <w:bottom w:val="single" w:color="auto" w:sz="4" w:space="0"/>
              <w:right w:val="single" w:color="000000" w:sz="4" w:space="0"/>
            </w:tcBorders>
            <w:vAlign w:val="center"/>
          </w:tcPr>
          <w:p w14:paraId="24957F8C">
            <w:pPr>
              <w:pStyle w:val="45"/>
              <w:bidi w:val="0"/>
              <w:rPr>
                <w:rFonts w:hint="default"/>
                <w:lang w:val="en-US" w:eastAsia="zh-CN"/>
              </w:rPr>
            </w:pPr>
            <w:r>
              <w:rPr>
                <w:rFonts w:hint="default"/>
                <w:lang w:val="en-US" w:eastAsia="zh-CN"/>
              </w:rPr>
              <w:t>26</w:t>
            </w:r>
          </w:p>
        </w:tc>
        <w:tc>
          <w:tcPr>
            <w:tcW w:w="587" w:type="pct"/>
            <w:vMerge w:val="continue"/>
            <w:tcBorders>
              <w:left w:val="single" w:color="000000" w:sz="4" w:space="0"/>
              <w:bottom w:val="single" w:color="auto" w:sz="4" w:space="0"/>
              <w:right w:val="single" w:color="000000" w:sz="4" w:space="0"/>
            </w:tcBorders>
            <w:vAlign w:val="center"/>
          </w:tcPr>
          <w:p w14:paraId="3C5D862F">
            <w:pPr>
              <w:pStyle w:val="45"/>
              <w:bidi w:val="0"/>
              <w:rPr>
                <w:rFonts w:hint="default"/>
              </w:rPr>
            </w:pPr>
          </w:p>
        </w:tc>
        <w:tc>
          <w:tcPr>
            <w:tcW w:w="1309" w:type="pct"/>
            <w:tcBorders>
              <w:top w:val="single" w:color="000000" w:sz="4" w:space="0"/>
              <w:left w:val="single" w:color="000000" w:sz="4" w:space="0"/>
              <w:bottom w:val="single" w:color="auto" w:sz="4" w:space="0"/>
              <w:right w:val="single" w:color="000000" w:sz="4" w:space="0"/>
            </w:tcBorders>
            <w:vAlign w:val="center"/>
          </w:tcPr>
          <w:p w14:paraId="0FA367D8">
            <w:pPr>
              <w:pStyle w:val="45"/>
              <w:bidi w:val="0"/>
              <w:rPr>
                <w:rFonts w:hint="eastAsia"/>
                <w:lang w:eastAsia="zh-CN"/>
              </w:rPr>
            </w:pPr>
            <w:r>
              <w:rPr>
                <w:rFonts w:hint="eastAsia"/>
                <w:lang w:eastAsia="zh-CN"/>
              </w:rPr>
              <w:t>催化剂（溴）</w:t>
            </w:r>
          </w:p>
        </w:tc>
        <w:tc>
          <w:tcPr>
            <w:tcW w:w="896" w:type="pct"/>
            <w:tcBorders>
              <w:top w:val="single" w:color="000000" w:sz="4" w:space="0"/>
              <w:left w:val="single" w:color="000000" w:sz="4" w:space="0"/>
              <w:bottom w:val="single" w:color="auto" w:sz="4" w:space="0"/>
              <w:right w:val="single" w:color="000000" w:sz="4" w:space="0"/>
            </w:tcBorders>
            <w:vAlign w:val="center"/>
          </w:tcPr>
          <w:p w14:paraId="19BAFDB0">
            <w:pPr>
              <w:pStyle w:val="45"/>
              <w:bidi w:val="0"/>
              <w:rPr>
                <w:rFonts w:hint="default"/>
              </w:rPr>
            </w:pPr>
            <w:r>
              <w:rPr>
                <w:rFonts w:hint="default"/>
              </w:rPr>
              <w:t>99.9%</w:t>
            </w:r>
          </w:p>
        </w:tc>
        <w:tc>
          <w:tcPr>
            <w:tcW w:w="1678" w:type="dxa"/>
            <w:tcBorders>
              <w:top w:val="single" w:color="000000" w:sz="4" w:space="0"/>
              <w:left w:val="single" w:color="000000" w:sz="4" w:space="0"/>
              <w:bottom w:val="single" w:color="auto" w:sz="4" w:space="0"/>
              <w:right w:val="single" w:color="000000" w:sz="4" w:space="0"/>
            </w:tcBorders>
            <w:vAlign w:val="center"/>
          </w:tcPr>
          <w:p w14:paraId="7F5158CE">
            <w:pPr>
              <w:pStyle w:val="45"/>
              <w:bidi w:val="0"/>
              <w:rPr>
                <w:rFonts w:hint="default"/>
                <w:lang w:val="en-US" w:eastAsia="zh-CN"/>
              </w:rPr>
            </w:pPr>
            <w:r>
              <w:rPr>
                <w:rFonts w:hint="eastAsia"/>
                <w:lang w:val="en-US" w:eastAsia="zh-CN"/>
              </w:rPr>
              <w:t>20.22</w:t>
            </w:r>
          </w:p>
        </w:tc>
        <w:tc>
          <w:tcPr>
            <w:tcW w:w="838" w:type="pct"/>
            <w:tcBorders>
              <w:top w:val="single" w:color="000000" w:sz="4" w:space="0"/>
              <w:left w:val="single" w:color="000000" w:sz="4" w:space="0"/>
              <w:bottom w:val="single" w:color="auto" w:sz="4" w:space="0"/>
              <w:right w:val="single" w:color="000000" w:sz="4" w:space="0"/>
            </w:tcBorders>
            <w:vAlign w:val="center"/>
          </w:tcPr>
          <w:p w14:paraId="14AD113C">
            <w:pPr>
              <w:pStyle w:val="45"/>
              <w:bidi w:val="0"/>
              <w:rPr>
                <w:rFonts w:hint="default"/>
                <w:lang w:val="en-US" w:eastAsia="zh-CN"/>
              </w:rPr>
            </w:pPr>
            <w:r>
              <w:rPr>
                <w:rFonts w:hint="default"/>
                <w:lang w:val="en-US" w:eastAsia="zh-CN"/>
              </w:rPr>
              <w:t>瓷瓶</w:t>
            </w:r>
          </w:p>
        </w:tc>
      </w:tr>
      <w:tr w14:paraId="58C5E988">
        <w:tblPrEx>
          <w:tblCellMar>
            <w:top w:w="0" w:type="dxa"/>
            <w:left w:w="0" w:type="dxa"/>
            <w:bottom w:w="0" w:type="dxa"/>
            <w:right w:w="0" w:type="dxa"/>
          </w:tblCellMar>
        </w:tblPrEx>
        <w:trPr>
          <w:trHeight w:val="340" w:hRule="atLeast"/>
          <w:jc w:val="center"/>
        </w:trPr>
        <w:tc>
          <w:tcPr>
            <w:tcW w:w="529" w:type="pct"/>
            <w:tcBorders>
              <w:top w:val="single" w:color="auto" w:sz="4" w:space="0"/>
              <w:left w:val="single" w:color="auto" w:sz="4" w:space="0"/>
              <w:bottom w:val="single" w:color="auto" w:sz="4" w:space="0"/>
              <w:right w:val="single" w:color="auto" w:sz="4" w:space="0"/>
            </w:tcBorders>
            <w:vAlign w:val="center"/>
          </w:tcPr>
          <w:p w14:paraId="1D0F4431">
            <w:pPr>
              <w:pStyle w:val="45"/>
              <w:bidi w:val="0"/>
              <w:rPr>
                <w:rFonts w:hint="default"/>
                <w:lang w:val="en-US" w:eastAsia="zh-CN"/>
              </w:rPr>
            </w:pPr>
            <w:r>
              <w:rPr>
                <w:rFonts w:hint="default"/>
                <w:lang w:val="en-US" w:eastAsia="zh-CN"/>
              </w:rPr>
              <w:t>2</w:t>
            </w:r>
            <w:r>
              <w:rPr>
                <w:rFonts w:hint="eastAsia"/>
                <w:lang w:val="en-US" w:eastAsia="zh-CN"/>
              </w:rPr>
              <w:t>7</w:t>
            </w:r>
          </w:p>
        </w:tc>
        <w:tc>
          <w:tcPr>
            <w:tcW w:w="587" w:type="pct"/>
            <w:vMerge w:val="restart"/>
            <w:tcBorders>
              <w:top w:val="single" w:color="auto" w:sz="4" w:space="0"/>
              <w:left w:val="single" w:color="auto" w:sz="4" w:space="0"/>
              <w:bottom w:val="single" w:color="auto" w:sz="4" w:space="0"/>
              <w:right w:val="single" w:color="auto" w:sz="4" w:space="0"/>
            </w:tcBorders>
            <w:vAlign w:val="center"/>
          </w:tcPr>
          <w:p w14:paraId="39EE88FC">
            <w:pPr>
              <w:pStyle w:val="45"/>
              <w:bidi w:val="0"/>
              <w:rPr>
                <w:rFonts w:hint="default"/>
                <w:lang w:val="en-US" w:eastAsia="zh-CN"/>
              </w:rPr>
            </w:pPr>
            <w:r>
              <w:rPr>
                <w:rFonts w:hint="default"/>
                <w:lang w:val="en-US" w:eastAsia="zh-CN"/>
              </w:rPr>
              <w:t>HFP</w:t>
            </w:r>
          </w:p>
        </w:tc>
        <w:tc>
          <w:tcPr>
            <w:tcW w:w="1309" w:type="pct"/>
            <w:tcBorders>
              <w:top w:val="single" w:color="auto" w:sz="4" w:space="0"/>
              <w:left w:val="single" w:color="auto" w:sz="4" w:space="0"/>
              <w:bottom w:val="single" w:color="auto" w:sz="4" w:space="0"/>
              <w:right w:val="single" w:color="auto" w:sz="4" w:space="0"/>
            </w:tcBorders>
            <w:vAlign w:val="center"/>
          </w:tcPr>
          <w:p w14:paraId="49D2D935">
            <w:pPr>
              <w:pStyle w:val="45"/>
              <w:bidi w:val="0"/>
              <w:rPr>
                <w:rFonts w:hint="default"/>
                <w:lang w:val="en-US" w:eastAsia="zh-CN"/>
              </w:rPr>
            </w:pPr>
            <w:r>
              <w:rPr>
                <w:rFonts w:hint="default"/>
                <w:lang w:val="en-US" w:eastAsia="zh-CN"/>
              </w:rPr>
              <w:t>TFE</w:t>
            </w:r>
          </w:p>
        </w:tc>
        <w:tc>
          <w:tcPr>
            <w:tcW w:w="896" w:type="pct"/>
            <w:tcBorders>
              <w:top w:val="single" w:color="auto" w:sz="4" w:space="0"/>
              <w:left w:val="single" w:color="auto" w:sz="4" w:space="0"/>
              <w:bottom w:val="single" w:color="auto" w:sz="4" w:space="0"/>
              <w:right w:val="single" w:color="auto" w:sz="4" w:space="0"/>
            </w:tcBorders>
            <w:vAlign w:val="center"/>
          </w:tcPr>
          <w:p w14:paraId="1EBFBDEB">
            <w:pPr>
              <w:pStyle w:val="45"/>
              <w:bidi w:val="0"/>
              <w:rPr>
                <w:rFonts w:hint="default"/>
                <w:lang w:val="en-US" w:eastAsia="zh-CN"/>
              </w:rPr>
            </w:pPr>
            <w:r>
              <w:rPr>
                <w:rFonts w:hint="default"/>
                <w:lang w:val="en-US" w:eastAsia="zh-CN"/>
              </w:rPr>
              <w:t>≥99.8%</w:t>
            </w:r>
          </w:p>
        </w:tc>
        <w:tc>
          <w:tcPr>
            <w:tcW w:w="1678" w:type="dxa"/>
            <w:tcBorders>
              <w:top w:val="single" w:color="auto" w:sz="4" w:space="0"/>
              <w:left w:val="single" w:color="auto" w:sz="4" w:space="0"/>
              <w:bottom w:val="single" w:color="auto" w:sz="4" w:space="0"/>
              <w:right w:val="single" w:color="auto" w:sz="4" w:space="0"/>
            </w:tcBorders>
            <w:vAlign w:val="center"/>
          </w:tcPr>
          <w:p w14:paraId="0B77A37F">
            <w:pPr>
              <w:pStyle w:val="45"/>
              <w:bidi w:val="0"/>
              <w:rPr>
                <w:rFonts w:hint="default"/>
                <w:lang w:val="en-US" w:eastAsia="zh-CN"/>
              </w:rPr>
            </w:pPr>
            <w:r>
              <w:rPr>
                <w:rFonts w:hint="eastAsia"/>
                <w:lang w:val="en-US" w:eastAsia="zh-CN"/>
              </w:rPr>
              <w:t>7528.694</w:t>
            </w:r>
          </w:p>
        </w:tc>
        <w:tc>
          <w:tcPr>
            <w:tcW w:w="838" w:type="pct"/>
            <w:tcBorders>
              <w:top w:val="single" w:color="auto" w:sz="4" w:space="0"/>
              <w:left w:val="single" w:color="auto" w:sz="4" w:space="0"/>
              <w:bottom w:val="single" w:color="auto" w:sz="4" w:space="0"/>
              <w:right w:val="single" w:color="auto" w:sz="4" w:space="0"/>
            </w:tcBorders>
            <w:vAlign w:val="center"/>
          </w:tcPr>
          <w:p w14:paraId="7487B02B">
            <w:pPr>
              <w:pStyle w:val="45"/>
              <w:bidi w:val="0"/>
              <w:rPr>
                <w:rFonts w:hint="default"/>
              </w:rPr>
            </w:pPr>
            <w:r>
              <w:rPr>
                <w:rFonts w:hint="default"/>
                <w:lang w:val="en-US" w:eastAsia="zh-CN"/>
              </w:rPr>
              <w:t>储罐</w:t>
            </w:r>
          </w:p>
        </w:tc>
      </w:tr>
      <w:tr w14:paraId="67DF1416">
        <w:tblPrEx>
          <w:tblCellMar>
            <w:top w:w="0" w:type="dxa"/>
            <w:left w:w="0" w:type="dxa"/>
            <w:bottom w:w="0" w:type="dxa"/>
            <w:right w:w="0" w:type="dxa"/>
          </w:tblCellMar>
        </w:tblPrEx>
        <w:trPr>
          <w:trHeight w:val="340" w:hRule="atLeast"/>
          <w:jc w:val="center"/>
        </w:trPr>
        <w:tc>
          <w:tcPr>
            <w:tcW w:w="529" w:type="pct"/>
            <w:tcBorders>
              <w:top w:val="single" w:color="auto" w:sz="4" w:space="0"/>
              <w:left w:val="single" w:color="auto" w:sz="4" w:space="0"/>
              <w:bottom w:val="single" w:color="auto" w:sz="4" w:space="0"/>
              <w:right w:val="single" w:color="auto" w:sz="4" w:space="0"/>
            </w:tcBorders>
            <w:vAlign w:val="center"/>
          </w:tcPr>
          <w:p w14:paraId="5C7D4328">
            <w:pPr>
              <w:pStyle w:val="45"/>
              <w:bidi w:val="0"/>
              <w:rPr>
                <w:rFonts w:hint="default"/>
                <w:lang w:val="en-US" w:eastAsia="zh-CN"/>
              </w:rPr>
            </w:pPr>
            <w:r>
              <w:rPr>
                <w:rFonts w:hint="default"/>
                <w:lang w:val="en-US" w:eastAsia="zh-CN"/>
              </w:rPr>
              <w:t>2</w:t>
            </w:r>
            <w:r>
              <w:rPr>
                <w:rFonts w:hint="eastAsia"/>
                <w:lang w:val="en-US" w:eastAsia="zh-CN"/>
              </w:rPr>
              <w:t>8</w:t>
            </w:r>
          </w:p>
        </w:tc>
        <w:tc>
          <w:tcPr>
            <w:tcW w:w="587" w:type="pct"/>
            <w:vMerge w:val="continue"/>
            <w:tcBorders>
              <w:top w:val="single" w:color="auto" w:sz="4" w:space="0"/>
              <w:left w:val="single" w:color="auto" w:sz="4" w:space="0"/>
              <w:bottom w:val="single" w:color="auto" w:sz="4" w:space="0"/>
              <w:right w:val="single" w:color="auto" w:sz="4" w:space="0"/>
            </w:tcBorders>
            <w:vAlign w:val="center"/>
          </w:tcPr>
          <w:p w14:paraId="778EB022">
            <w:pPr>
              <w:pStyle w:val="45"/>
              <w:bidi w:val="0"/>
              <w:rPr>
                <w:rFonts w:hint="default"/>
              </w:rPr>
            </w:pPr>
          </w:p>
        </w:tc>
        <w:tc>
          <w:tcPr>
            <w:tcW w:w="1309" w:type="pct"/>
            <w:tcBorders>
              <w:top w:val="single" w:color="auto" w:sz="4" w:space="0"/>
              <w:left w:val="single" w:color="auto" w:sz="4" w:space="0"/>
              <w:bottom w:val="single" w:color="auto" w:sz="4" w:space="0"/>
              <w:right w:val="single" w:color="auto" w:sz="4" w:space="0"/>
            </w:tcBorders>
            <w:vAlign w:val="center"/>
          </w:tcPr>
          <w:p w14:paraId="26FBDB83">
            <w:pPr>
              <w:pStyle w:val="45"/>
              <w:bidi w:val="0"/>
              <w:rPr>
                <w:rFonts w:hint="default"/>
                <w:lang w:val="en-US" w:eastAsia="zh-CN"/>
              </w:rPr>
            </w:pPr>
            <w:r>
              <w:rPr>
                <w:rFonts w:hint="default"/>
                <w:lang w:val="en-US" w:eastAsia="zh-CN"/>
              </w:rPr>
              <w:t>甲醇</w:t>
            </w:r>
          </w:p>
        </w:tc>
        <w:tc>
          <w:tcPr>
            <w:tcW w:w="896" w:type="pct"/>
            <w:tcBorders>
              <w:top w:val="single" w:color="auto" w:sz="4" w:space="0"/>
              <w:left w:val="single" w:color="auto" w:sz="4" w:space="0"/>
              <w:bottom w:val="single" w:color="auto" w:sz="4" w:space="0"/>
              <w:right w:val="single" w:color="auto" w:sz="4" w:space="0"/>
            </w:tcBorders>
            <w:vAlign w:val="center"/>
          </w:tcPr>
          <w:p w14:paraId="62AB9DAC">
            <w:pPr>
              <w:pStyle w:val="45"/>
              <w:bidi w:val="0"/>
              <w:rPr>
                <w:rFonts w:hint="default"/>
                <w:lang w:val="en-US" w:eastAsia="zh-CN"/>
              </w:rPr>
            </w:pPr>
            <w:r>
              <w:rPr>
                <w:rFonts w:hint="default"/>
                <w:lang w:val="en-US" w:eastAsia="zh-CN"/>
              </w:rPr>
              <w:t>99.5%</w:t>
            </w:r>
          </w:p>
        </w:tc>
        <w:tc>
          <w:tcPr>
            <w:tcW w:w="1678" w:type="dxa"/>
            <w:tcBorders>
              <w:top w:val="single" w:color="auto" w:sz="4" w:space="0"/>
              <w:left w:val="single" w:color="auto" w:sz="4" w:space="0"/>
              <w:bottom w:val="single" w:color="auto" w:sz="4" w:space="0"/>
              <w:right w:val="single" w:color="auto" w:sz="4" w:space="0"/>
            </w:tcBorders>
            <w:vAlign w:val="center"/>
          </w:tcPr>
          <w:p w14:paraId="42B88404">
            <w:pPr>
              <w:pStyle w:val="45"/>
              <w:bidi w:val="0"/>
              <w:rPr>
                <w:rFonts w:hint="default"/>
                <w:lang w:val="en-US" w:eastAsia="zh-CN"/>
              </w:rPr>
            </w:pPr>
            <w:r>
              <w:rPr>
                <w:rFonts w:hint="eastAsia"/>
                <w:lang w:val="en-US" w:eastAsia="zh-CN"/>
              </w:rPr>
              <w:t>486.274</w:t>
            </w:r>
          </w:p>
        </w:tc>
        <w:tc>
          <w:tcPr>
            <w:tcW w:w="838" w:type="pct"/>
            <w:tcBorders>
              <w:top w:val="single" w:color="auto" w:sz="4" w:space="0"/>
              <w:left w:val="single" w:color="auto" w:sz="4" w:space="0"/>
              <w:bottom w:val="single" w:color="auto" w:sz="4" w:space="0"/>
              <w:right w:val="single" w:color="auto" w:sz="4" w:space="0"/>
            </w:tcBorders>
            <w:vAlign w:val="center"/>
          </w:tcPr>
          <w:p w14:paraId="4908899D">
            <w:pPr>
              <w:pStyle w:val="45"/>
              <w:bidi w:val="0"/>
              <w:rPr>
                <w:rFonts w:hint="default"/>
              </w:rPr>
            </w:pPr>
            <w:r>
              <w:rPr>
                <w:rFonts w:hint="default"/>
                <w:lang w:val="en-US" w:eastAsia="zh-CN"/>
              </w:rPr>
              <w:t>储罐</w:t>
            </w:r>
          </w:p>
        </w:tc>
      </w:tr>
      <w:tr w14:paraId="76748E36">
        <w:tblPrEx>
          <w:tblCellMar>
            <w:top w:w="0" w:type="dxa"/>
            <w:left w:w="0" w:type="dxa"/>
            <w:bottom w:w="0" w:type="dxa"/>
            <w:right w:w="0" w:type="dxa"/>
          </w:tblCellMar>
        </w:tblPrEx>
        <w:trPr>
          <w:trHeight w:val="340" w:hRule="atLeast"/>
          <w:jc w:val="center"/>
        </w:trPr>
        <w:tc>
          <w:tcPr>
            <w:tcW w:w="529" w:type="pct"/>
            <w:tcBorders>
              <w:top w:val="single" w:color="auto" w:sz="4" w:space="0"/>
              <w:left w:val="single" w:color="auto" w:sz="4" w:space="0"/>
              <w:bottom w:val="single" w:color="auto" w:sz="4" w:space="0"/>
              <w:right w:val="single" w:color="auto" w:sz="4" w:space="0"/>
            </w:tcBorders>
            <w:vAlign w:val="center"/>
          </w:tcPr>
          <w:p w14:paraId="3306C18A">
            <w:pPr>
              <w:pStyle w:val="45"/>
              <w:bidi w:val="0"/>
              <w:rPr>
                <w:rFonts w:hint="default"/>
                <w:lang w:val="en-US" w:eastAsia="zh-CN"/>
              </w:rPr>
            </w:pPr>
            <w:r>
              <w:rPr>
                <w:rFonts w:hint="eastAsia"/>
                <w:lang w:val="en-US" w:eastAsia="zh-CN"/>
              </w:rPr>
              <w:t>29</w:t>
            </w:r>
          </w:p>
        </w:tc>
        <w:tc>
          <w:tcPr>
            <w:tcW w:w="587" w:type="pct"/>
            <w:vMerge w:val="continue"/>
            <w:tcBorders>
              <w:top w:val="single" w:color="auto" w:sz="4" w:space="0"/>
              <w:left w:val="single" w:color="auto" w:sz="4" w:space="0"/>
              <w:bottom w:val="single" w:color="auto" w:sz="4" w:space="0"/>
              <w:right w:val="single" w:color="auto" w:sz="4" w:space="0"/>
            </w:tcBorders>
            <w:vAlign w:val="center"/>
          </w:tcPr>
          <w:p w14:paraId="5B11CEC3">
            <w:pPr>
              <w:pStyle w:val="45"/>
              <w:bidi w:val="0"/>
              <w:rPr>
                <w:rFonts w:hint="default"/>
              </w:rPr>
            </w:pPr>
          </w:p>
        </w:tc>
        <w:tc>
          <w:tcPr>
            <w:tcW w:w="1309" w:type="pct"/>
            <w:tcBorders>
              <w:top w:val="single" w:color="auto" w:sz="4" w:space="0"/>
              <w:left w:val="single" w:color="auto" w:sz="4" w:space="0"/>
              <w:bottom w:val="single" w:color="auto" w:sz="4" w:space="0"/>
              <w:right w:val="single" w:color="auto" w:sz="4" w:space="0"/>
            </w:tcBorders>
            <w:vAlign w:val="center"/>
          </w:tcPr>
          <w:p w14:paraId="20A05A0D">
            <w:pPr>
              <w:pStyle w:val="45"/>
              <w:bidi w:val="0"/>
              <w:rPr>
                <w:rFonts w:hint="default"/>
                <w:lang w:val="en-US" w:eastAsia="zh-CN"/>
              </w:rPr>
            </w:pPr>
            <w:r>
              <w:rPr>
                <w:rFonts w:hint="default"/>
                <w:lang w:val="en-US" w:eastAsia="zh-CN"/>
              </w:rPr>
              <w:t>氧化铝</w:t>
            </w:r>
          </w:p>
        </w:tc>
        <w:tc>
          <w:tcPr>
            <w:tcW w:w="896" w:type="pct"/>
            <w:tcBorders>
              <w:top w:val="single" w:color="auto" w:sz="4" w:space="0"/>
              <w:left w:val="single" w:color="auto" w:sz="4" w:space="0"/>
              <w:bottom w:val="single" w:color="auto" w:sz="4" w:space="0"/>
              <w:right w:val="single" w:color="auto" w:sz="4" w:space="0"/>
            </w:tcBorders>
            <w:vAlign w:val="center"/>
          </w:tcPr>
          <w:p w14:paraId="7975DADE">
            <w:pPr>
              <w:pStyle w:val="45"/>
              <w:bidi w:val="0"/>
              <w:rPr>
                <w:rFonts w:hint="default"/>
              </w:rPr>
            </w:pPr>
            <w:r>
              <w:rPr>
                <w:rFonts w:hint="default"/>
                <w:lang w:val="en-US" w:eastAsia="zh-CN"/>
              </w:rPr>
              <w:t>φ4~8mm</w:t>
            </w:r>
          </w:p>
        </w:tc>
        <w:tc>
          <w:tcPr>
            <w:tcW w:w="1678" w:type="dxa"/>
            <w:tcBorders>
              <w:top w:val="single" w:color="auto" w:sz="4" w:space="0"/>
              <w:left w:val="single" w:color="auto" w:sz="4" w:space="0"/>
              <w:bottom w:val="single" w:color="auto" w:sz="4" w:space="0"/>
              <w:right w:val="single" w:color="auto" w:sz="4" w:space="0"/>
            </w:tcBorders>
            <w:vAlign w:val="center"/>
          </w:tcPr>
          <w:p w14:paraId="0EAA6DE7">
            <w:pPr>
              <w:pStyle w:val="45"/>
              <w:bidi w:val="0"/>
              <w:rPr>
                <w:rFonts w:hint="default"/>
              </w:rPr>
            </w:pPr>
            <w:r>
              <w:rPr>
                <w:rFonts w:hint="eastAsia"/>
                <w:lang w:val="en-US" w:eastAsia="zh-CN"/>
              </w:rPr>
              <w:t>2</w:t>
            </w:r>
          </w:p>
        </w:tc>
        <w:tc>
          <w:tcPr>
            <w:tcW w:w="838" w:type="pct"/>
            <w:tcBorders>
              <w:top w:val="single" w:color="auto" w:sz="4" w:space="0"/>
              <w:left w:val="single" w:color="auto" w:sz="4" w:space="0"/>
              <w:bottom w:val="single" w:color="auto" w:sz="4" w:space="0"/>
              <w:right w:val="single" w:color="auto" w:sz="4" w:space="0"/>
            </w:tcBorders>
            <w:vAlign w:val="center"/>
          </w:tcPr>
          <w:p w14:paraId="33F4A14C">
            <w:pPr>
              <w:pStyle w:val="45"/>
              <w:bidi w:val="0"/>
              <w:rPr>
                <w:rFonts w:hint="default"/>
              </w:rPr>
            </w:pPr>
            <w:r>
              <w:rPr>
                <w:rFonts w:hint="default"/>
              </w:rPr>
              <w:t>铁桶</w:t>
            </w:r>
          </w:p>
        </w:tc>
      </w:tr>
      <w:tr w14:paraId="1A630C88">
        <w:tblPrEx>
          <w:tblCellMar>
            <w:top w:w="0" w:type="dxa"/>
            <w:left w:w="0" w:type="dxa"/>
            <w:bottom w:w="0" w:type="dxa"/>
            <w:right w:w="0" w:type="dxa"/>
          </w:tblCellMar>
        </w:tblPrEx>
        <w:trPr>
          <w:trHeight w:val="340" w:hRule="atLeast"/>
          <w:jc w:val="center"/>
        </w:trPr>
        <w:tc>
          <w:tcPr>
            <w:tcW w:w="529" w:type="pct"/>
            <w:tcBorders>
              <w:top w:val="single" w:color="auto" w:sz="4" w:space="0"/>
              <w:left w:val="single" w:color="auto" w:sz="4" w:space="0"/>
              <w:bottom w:val="single" w:color="auto" w:sz="4" w:space="0"/>
              <w:right w:val="single" w:color="auto" w:sz="4" w:space="0"/>
            </w:tcBorders>
            <w:vAlign w:val="center"/>
          </w:tcPr>
          <w:p w14:paraId="0E9C0EFC">
            <w:pPr>
              <w:pStyle w:val="45"/>
              <w:bidi w:val="0"/>
              <w:rPr>
                <w:rFonts w:hint="default"/>
                <w:lang w:val="en-US" w:eastAsia="zh-CN"/>
              </w:rPr>
            </w:pPr>
            <w:r>
              <w:rPr>
                <w:rFonts w:hint="eastAsia"/>
                <w:lang w:val="en-US" w:eastAsia="zh-CN"/>
              </w:rPr>
              <w:t>30</w:t>
            </w:r>
          </w:p>
        </w:tc>
        <w:tc>
          <w:tcPr>
            <w:tcW w:w="587" w:type="pct"/>
            <w:vMerge w:val="continue"/>
            <w:tcBorders>
              <w:top w:val="single" w:color="auto" w:sz="4" w:space="0"/>
              <w:left w:val="single" w:color="auto" w:sz="4" w:space="0"/>
              <w:bottom w:val="single" w:color="auto" w:sz="4" w:space="0"/>
              <w:right w:val="single" w:color="auto" w:sz="4" w:space="0"/>
            </w:tcBorders>
            <w:vAlign w:val="center"/>
          </w:tcPr>
          <w:p w14:paraId="640C2A03">
            <w:pPr>
              <w:pStyle w:val="45"/>
              <w:bidi w:val="0"/>
              <w:rPr>
                <w:rFonts w:hint="default"/>
              </w:rPr>
            </w:pPr>
          </w:p>
        </w:tc>
        <w:tc>
          <w:tcPr>
            <w:tcW w:w="1309" w:type="pct"/>
            <w:tcBorders>
              <w:top w:val="single" w:color="auto" w:sz="4" w:space="0"/>
              <w:left w:val="single" w:color="auto" w:sz="4" w:space="0"/>
              <w:bottom w:val="single" w:color="auto" w:sz="4" w:space="0"/>
              <w:right w:val="single" w:color="auto" w:sz="4" w:space="0"/>
            </w:tcBorders>
            <w:vAlign w:val="center"/>
          </w:tcPr>
          <w:p w14:paraId="38C306AC">
            <w:pPr>
              <w:pStyle w:val="45"/>
              <w:bidi w:val="0"/>
              <w:rPr>
                <w:rFonts w:hint="default"/>
                <w:lang w:val="en-US" w:eastAsia="zh-CN"/>
              </w:rPr>
            </w:pPr>
            <w:r>
              <w:rPr>
                <w:rFonts w:hint="default"/>
                <w:lang w:val="en-US" w:eastAsia="zh-CN"/>
              </w:rPr>
              <w:t>硅胶</w:t>
            </w:r>
          </w:p>
        </w:tc>
        <w:tc>
          <w:tcPr>
            <w:tcW w:w="896" w:type="pct"/>
            <w:tcBorders>
              <w:top w:val="single" w:color="auto" w:sz="4" w:space="0"/>
              <w:left w:val="single" w:color="auto" w:sz="4" w:space="0"/>
              <w:bottom w:val="single" w:color="auto" w:sz="4" w:space="0"/>
              <w:right w:val="single" w:color="auto" w:sz="4" w:space="0"/>
            </w:tcBorders>
            <w:vAlign w:val="center"/>
          </w:tcPr>
          <w:p w14:paraId="4B0134F8">
            <w:pPr>
              <w:pStyle w:val="45"/>
              <w:bidi w:val="0"/>
              <w:rPr>
                <w:rFonts w:hint="default"/>
                <w:lang w:val="en-US"/>
              </w:rPr>
            </w:pPr>
            <w:r>
              <w:rPr>
                <w:rFonts w:hint="default"/>
                <w:lang w:val="en-US" w:eastAsia="zh-CN"/>
              </w:rPr>
              <w:t>Φ6mm×10</w:t>
            </w:r>
          </w:p>
        </w:tc>
        <w:tc>
          <w:tcPr>
            <w:tcW w:w="1678" w:type="dxa"/>
            <w:tcBorders>
              <w:top w:val="single" w:color="auto" w:sz="4" w:space="0"/>
              <w:left w:val="single" w:color="auto" w:sz="4" w:space="0"/>
              <w:bottom w:val="single" w:color="auto" w:sz="4" w:space="0"/>
              <w:right w:val="single" w:color="auto" w:sz="4" w:space="0"/>
            </w:tcBorders>
            <w:vAlign w:val="center"/>
          </w:tcPr>
          <w:p w14:paraId="0C69363A">
            <w:pPr>
              <w:pStyle w:val="45"/>
              <w:bidi w:val="0"/>
              <w:rPr>
                <w:rFonts w:hint="default"/>
              </w:rPr>
            </w:pPr>
            <w:r>
              <w:rPr>
                <w:rFonts w:hint="eastAsia"/>
                <w:lang w:val="en-US" w:eastAsia="zh-CN"/>
              </w:rPr>
              <w:t>8.775</w:t>
            </w:r>
          </w:p>
        </w:tc>
        <w:tc>
          <w:tcPr>
            <w:tcW w:w="838" w:type="pct"/>
            <w:tcBorders>
              <w:top w:val="single" w:color="auto" w:sz="4" w:space="0"/>
              <w:left w:val="single" w:color="auto" w:sz="4" w:space="0"/>
              <w:bottom w:val="single" w:color="auto" w:sz="4" w:space="0"/>
              <w:right w:val="single" w:color="auto" w:sz="4" w:space="0"/>
            </w:tcBorders>
            <w:vAlign w:val="center"/>
          </w:tcPr>
          <w:p w14:paraId="4C332D69">
            <w:pPr>
              <w:pStyle w:val="45"/>
              <w:bidi w:val="0"/>
              <w:rPr>
                <w:rFonts w:hint="default"/>
              </w:rPr>
            </w:pPr>
            <w:r>
              <w:rPr>
                <w:rFonts w:hint="default"/>
              </w:rPr>
              <w:t>布袋</w:t>
            </w:r>
          </w:p>
        </w:tc>
      </w:tr>
    </w:tbl>
    <w:p w14:paraId="3AE71893">
      <w:pPr>
        <w:pStyle w:val="4"/>
        <w:numPr>
          <w:ilvl w:val="0"/>
          <w:numId w:val="0"/>
        </w:numPr>
        <w:ind w:leftChars="0"/>
        <w:rPr>
          <w:rFonts w:hint="default" w:ascii="Times New Roman" w:hAnsi="Times New Roman" w:eastAsia="宋体" w:cs="Times New Roman"/>
          <w:color w:val="auto"/>
          <w:highlight w:val="none"/>
          <w:lang w:eastAsia="zh-CN"/>
        </w:rPr>
      </w:pPr>
      <w:bookmarkStart w:id="24" w:name="_Toc2040"/>
      <w:r>
        <w:rPr>
          <w:rFonts w:hint="default" w:ascii="Times New Roman" w:hAnsi="Times New Roman" w:cs="Times New Roman"/>
          <w:color w:val="auto"/>
          <w:highlight w:val="none"/>
          <w:lang w:val="en-US" w:eastAsia="zh-CN"/>
        </w:rPr>
        <w:t xml:space="preserve">1.1.2 </w:t>
      </w:r>
      <w:bookmarkStart w:id="25" w:name="OLE_LINK19"/>
      <w:r>
        <w:rPr>
          <w:rFonts w:hint="default" w:ascii="Times New Roman" w:hAnsi="Times New Roman" w:cs="Times New Roman"/>
          <w:color w:val="auto"/>
          <w:highlight w:val="none"/>
        </w:rPr>
        <w:t>HCFC-141b</w:t>
      </w:r>
      <w:bookmarkEnd w:id="25"/>
      <w:r>
        <w:rPr>
          <w:rFonts w:hint="default" w:ascii="Times New Roman" w:hAnsi="Times New Roman" w:cs="Times New Roman"/>
          <w:color w:val="auto"/>
          <w:highlight w:val="none"/>
          <w:lang w:val="en-US" w:eastAsia="zh-CN"/>
        </w:rPr>
        <w:t>项目工程分析</w:t>
      </w:r>
      <w:bookmarkEnd w:id="24"/>
    </w:p>
    <w:p w14:paraId="30C238E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HCFC-141b</w:t>
      </w:r>
      <w:r>
        <w:rPr>
          <w:rFonts w:hint="default" w:ascii="Times New Roman" w:hAnsi="Times New Roman" w:cs="Times New Roman"/>
          <w:color w:val="auto"/>
          <w:highlight w:val="none"/>
          <w:lang w:val="en-US" w:eastAsia="zh-CN"/>
        </w:rPr>
        <w:t>设计产能30000</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近年实际产能见下表。</w:t>
      </w:r>
    </w:p>
    <w:p w14:paraId="155DF09C">
      <w:pPr>
        <w:bidi w:val="0"/>
        <w:rPr>
          <w:rFonts w:hint="default" w:ascii="Times New Roman" w:hAnsi="Times New Roman" w:cs="Times New Roman"/>
          <w:color w:val="auto"/>
          <w:highlight w:val="none"/>
          <w:lang w:val="en-US" w:eastAsia="zh-CN"/>
        </w:rPr>
      </w:pPr>
    </w:p>
    <w:p w14:paraId="681E2C2B">
      <w:pPr>
        <w:pStyle w:val="46"/>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表 1.1-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eastAsia="zh-CN"/>
        </w:rPr>
        <w:t>近三年产量及经营状况</w:t>
      </w:r>
    </w:p>
    <w:tbl>
      <w:tblPr>
        <w:tblStyle w:val="29"/>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055"/>
        <w:gridCol w:w="1328"/>
        <w:gridCol w:w="1364"/>
        <w:gridCol w:w="1237"/>
        <w:gridCol w:w="1195"/>
        <w:gridCol w:w="1338"/>
      </w:tblGrid>
      <w:tr w14:paraId="5128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39" w:type="dxa"/>
            <w:tcBorders>
              <w:top w:val="single" w:color="auto" w:sz="4" w:space="0"/>
              <w:left w:val="single" w:color="auto" w:sz="4" w:space="0"/>
              <w:bottom w:val="single" w:color="auto" w:sz="4" w:space="0"/>
              <w:right w:val="single" w:color="auto" w:sz="4" w:space="0"/>
            </w:tcBorders>
            <w:noWrap w:val="0"/>
            <w:vAlign w:val="center"/>
          </w:tcPr>
          <w:p w14:paraId="061A9A2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产品</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01D43D8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年度</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CDF894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总生产量（吨）</w:t>
            </w:r>
          </w:p>
        </w:tc>
        <w:tc>
          <w:tcPr>
            <w:tcW w:w="1364" w:type="dxa"/>
            <w:tcBorders>
              <w:top w:val="single" w:color="auto" w:sz="4" w:space="0"/>
              <w:left w:val="single" w:color="auto" w:sz="4" w:space="0"/>
              <w:bottom w:val="single" w:color="auto" w:sz="4" w:space="0"/>
              <w:right w:val="single" w:color="auto" w:sz="4" w:space="0"/>
            </w:tcBorders>
            <w:noWrap w:val="0"/>
            <w:vAlign w:val="center"/>
          </w:tcPr>
          <w:p w14:paraId="0DFD82C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受控用途生产配额（吨）</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7A5121F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受控用途产量（吨）</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73500A0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内用生产配额（吨）</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504B5D0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内用受控用途产量（吨）</w:t>
            </w:r>
          </w:p>
        </w:tc>
      </w:tr>
      <w:tr w14:paraId="0751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39" w:type="dxa"/>
            <w:vMerge w:val="restart"/>
            <w:tcBorders>
              <w:top w:val="single" w:color="auto" w:sz="4" w:space="0"/>
              <w:left w:val="single" w:color="auto" w:sz="4" w:space="0"/>
              <w:right w:val="single" w:color="auto" w:sz="4" w:space="0"/>
            </w:tcBorders>
            <w:noWrap w:val="0"/>
            <w:vAlign w:val="center"/>
          </w:tcPr>
          <w:p w14:paraId="10C0FBF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HCFC-141b</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0BDCFF0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2021年</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E88E5A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7668.633</w:t>
            </w:r>
          </w:p>
        </w:tc>
        <w:tc>
          <w:tcPr>
            <w:tcW w:w="1364" w:type="dxa"/>
            <w:tcBorders>
              <w:top w:val="single" w:color="auto" w:sz="4" w:space="0"/>
              <w:left w:val="single" w:color="auto" w:sz="4" w:space="0"/>
              <w:bottom w:val="single" w:color="auto" w:sz="4" w:space="0"/>
              <w:right w:val="single" w:color="auto" w:sz="4" w:space="0"/>
            </w:tcBorders>
            <w:noWrap w:val="0"/>
            <w:vAlign w:val="center"/>
          </w:tcPr>
          <w:p w14:paraId="0560F7D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12632</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26B9A9F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7668.633</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2328BD7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7705</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0A2FC8F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6991.383</w:t>
            </w:r>
          </w:p>
        </w:tc>
      </w:tr>
      <w:tr w14:paraId="10CF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39" w:type="dxa"/>
            <w:vMerge w:val="continue"/>
            <w:tcBorders>
              <w:left w:val="single" w:color="auto" w:sz="4" w:space="0"/>
              <w:right w:val="single" w:color="auto" w:sz="4" w:space="0"/>
            </w:tcBorders>
            <w:noWrap w:val="0"/>
            <w:vAlign w:val="center"/>
          </w:tcPr>
          <w:p w14:paraId="247336A0">
            <w:pPr>
              <w:pStyle w:val="45"/>
              <w:bidi w:val="0"/>
              <w:rPr>
                <w:rFonts w:hint="default" w:ascii="Times New Roman" w:hAnsi="Times New Roman" w:cs="Times New Roman"/>
                <w:color w:val="auto"/>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20F1EEE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2022年</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6B7E50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10036.417</w:t>
            </w:r>
          </w:p>
        </w:tc>
        <w:tc>
          <w:tcPr>
            <w:tcW w:w="1364" w:type="dxa"/>
            <w:tcBorders>
              <w:top w:val="single" w:color="auto" w:sz="4" w:space="0"/>
              <w:left w:val="single" w:color="auto" w:sz="4" w:space="0"/>
              <w:bottom w:val="single" w:color="auto" w:sz="4" w:space="0"/>
              <w:right w:val="single" w:color="auto" w:sz="4" w:space="0"/>
            </w:tcBorders>
            <w:noWrap w:val="0"/>
            <w:vAlign w:val="center"/>
          </w:tcPr>
          <w:p w14:paraId="7D6FC7B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12632</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0D21568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10036.417</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7CCCF84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7705</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18714B5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8502.768</w:t>
            </w:r>
          </w:p>
        </w:tc>
      </w:tr>
      <w:tr w14:paraId="34EC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39" w:type="dxa"/>
            <w:vMerge w:val="continue"/>
            <w:tcBorders>
              <w:left w:val="single" w:color="auto" w:sz="4" w:space="0"/>
              <w:right w:val="single" w:color="auto" w:sz="4" w:space="0"/>
            </w:tcBorders>
            <w:noWrap w:val="0"/>
            <w:vAlign w:val="center"/>
          </w:tcPr>
          <w:p w14:paraId="72A4C28F">
            <w:pPr>
              <w:pStyle w:val="45"/>
              <w:bidi w:val="0"/>
              <w:rPr>
                <w:rFonts w:hint="default" w:ascii="Times New Roman" w:hAnsi="Times New Roman" w:cs="Times New Roman"/>
                <w:color w:val="auto"/>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398600D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2023年</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CF830D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6435.598</w:t>
            </w:r>
          </w:p>
        </w:tc>
        <w:tc>
          <w:tcPr>
            <w:tcW w:w="1364" w:type="dxa"/>
            <w:tcBorders>
              <w:top w:val="single" w:color="auto" w:sz="4" w:space="0"/>
              <w:left w:val="single" w:color="auto" w:sz="4" w:space="0"/>
              <w:bottom w:val="single" w:color="auto" w:sz="4" w:space="0"/>
              <w:right w:val="single" w:color="auto" w:sz="4" w:space="0"/>
            </w:tcBorders>
            <w:noWrap w:val="0"/>
            <w:vAlign w:val="center"/>
          </w:tcPr>
          <w:p w14:paraId="24F5FA3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6557</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66195D4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6435.598</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0CABACB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3784</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21A5552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3764</w:t>
            </w:r>
          </w:p>
        </w:tc>
      </w:tr>
    </w:tbl>
    <w:p w14:paraId="175DE8DE">
      <w:pPr>
        <w:bidi w:val="0"/>
        <w:rPr>
          <w:rFonts w:hint="default" w:ascii="Times New Roman" w:hAnsi="Times New Roman" w:cs="Times New Roman"/>
          <w:b/>
          <w:bCs/>
          <w:color w:val="auto"/>
          <w:highlight w:val="none"/>
        </w:rPr>
      </w:pPr>
      <w:bookmarkStart w:id="26" w:name="OLE_LINK43"/>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主要原辅材料</w:t>
      </w:r>
      <w:bookmarkEnd w:id="26"/>
    </w:p>
    <w:p w14:paraId="4833823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本项目的主要原料有：</w:t>
      </w:r>
      <w:r>
        <w:rPr>
          <w:rFonts w:hint="default" w:ascii="Times New Roman" w:hAnsi="Times New Roman" w:cs="Times New Roman"/>
          <w:color w:val="auto"/>
          <w:highlight w:val="none"/>
          <w:lang w:eastAsia="zh-CN"/>
        </w:rPr>
        <w:t>偏二氯乙烯</w:t>
      </w:r>
      <w:r>
        <w:rPr>
          <w:rFonts w:hint="default" w:ascii="Times New Roman" w:hAnsi="Times New Roman" w:cs="Times New Roman"/>
          <w:color w:val="auto"/>
          <w:highlight w:val="none"/>
        </w:rPr>
        <w:t>、氟化氢、催化剂（溴）、干燥剂、液碱等。具体原辅材料见</w:t>
      </w:r>
      <w:r>
        <w:rPr>
          <w:rFonts w:hint="default" w:ascii="Times New Roman" w:hAnsi="Times New Roman" w:cs="Times New Roman"/>
          <w:color w:val="auto"/>
          <w:highlight w:val="none"/>
          <w:lang w:val="en-US" w:eastAsia="zh-CN"/>
        </w:rPr>
        <w:t>下表。</w:t>
      </w:r>
    </w:p>
    <w:p w14:paraId="17B6E9F2">
      <w:pPr>
        <w:pStyle w:val="46"/>
        <w:bidi w:val="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表 1.1-</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项目原辅材料用量表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2024年</w:t>
      </w:r>
      <w:r>
        <w:rPr>
          <w:rFonts w:hint="eastAsia" w:ascii="Times New Roman" w:hAnsi="Times New Roman" w:cs="Times New Roman"/>
          <w:color w:val="auto"/>
          <w:highlight w:val="none"/>
          <w:lang w:eastAsia="zh-CN"/>
        </w:rPr>
        <w:t>）</w:t>
      </w:r>
    </w:p>
    <w:tbl>
      <w:tblPr>
        <w:tblStyle w:val="29"/>
        <w:tblW w:w="6170" w:type="pct"/>
        <w:jc w:val="center"/>
        <w:tblLayout w:type="autofit"/>
        <w:tblCellMar>
          <w:top w:w="0" w:type="dxa"/>
          <w:left w:w="0" w:type="dxa"/>
          <w:bottom w:w="0" w:type="dxa"/>
          <w:right w:w="0" w:type="dxa"/>
        </w:tblCellMar>
      </w:tblPr>
      <w:tblGrid>
        <w:gridCol w:w="843"/>
        <w:gridCol w:w="684"/>
        <w:gridCol w:w="1807"/>
        <w:gridCol w:w="1673"/>
        <w:gridCol w:w="1934"/>
        <w:gridCol w:w="2210"/>
        <w:gridCol w:w="1118"/>
      </w:tblGrid>
      <w:tr w14:paraId="18AF53AC">
        <w:tblPrEx>
          <w:tblCellMar>
            <w:top w:w="0" w:type="dxa"/>
            <w:left w:w="0" w:type="dxa"/>
            <w:bottom w:w="0" w:type="dxa"/>
            <w:right w:w="0" w:type="dxa"/>
          </w:tblCellMar>
        </w:tblPrEx>
        <w:trPr>
          <w:trHeight w:val="340"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14:paraId="2C5D140D">
            <w:pPr>
              <w:pStyle w:val="45"/>
              <w:bidi w:val="0"/>
              <w:rPr>
                <w:rFonts w:hint="default"/>
              </w:rPr>
            </w:pPr>
            <w:r>
              <w:rPr>
                <w:rFonts w:hint="default"/>
              </w:rPr>
              <w:t>类别</w:t>
            </w:r>
          </w:p>
        </w:tc>
        <w:tc>
          <w:tcPr>
            <w:tcW w:w="333" w:type="pct"/>
            <w:tcBorders>
              <w:top w:val="single" w:color="000000" w:sz="4" w:space="0"/>
              <w:left w:val="single" w:color="000000" w:sz="4" w:space="0"/>
              <w:bottom w:val="single" w:color="000000" w:sz="4" w:space="0"/>
              <w:right w:val="single" w:color="000000" w:sz="4" w:space="0"/>
            </w:tcBorders>
            <w:vAlign w:val="center"/>
          </w:tcPr>
          <w:p w14:paraId="5FD4AEB6">
            <w:pPr>
              <w:pStyle w:val="45"/>
              <w:bidi w:val="0"/>
              <w:rPr>
                <w:rFonts w:hint="default"/>
              </w:rPr>
            </w:pPr>
            <w:r>
              <w:rPr>
                <w:rFonts w:hint="default"/>
              </w:rPr>
              <w:t>序号</w:t>
            </w:r>
          </w:p>
        </w:tc>
        <w:tc>
          <w:tcPr>
            <w:tcW w:w="879" w:type="pct"/>
            <w:tcBorders>
              <w:top w:val="single" w:color="000000" w:sz="4" w:space="0"/>
              <w:left w:val="single" w:color="000000" w:sz="4" w:space="0"/>
              <w:bottom w:val="single" w:color="000000" w:sz="4" w:space="0"/>
              <w:right w:val="single" w:color="000000" w:sz="4" w:space="0"/>
            </w:tcBorders>
            <w:vAlign w:val="center"/>
          </w:tcPr>
          <w:p w14:paraId="06BC9BBC">
            <w:pPr>
              <w:pStyle w:val="45"/>
              <w:bidi w:val="0"/>
              <w:rPr>
                <w:rFonts w:hint="default"/>
              </w:rPr>
            </w:pPr>
            <w:r>
              <w:rPr>
                <w:rFonts w:hint="default"/>
              </w:rPr>
              <w:t>名称</w:t>
            </w:r>
          </w:p>
        </w:tc>
        <w:tc>
          <w:tcPr>
            <w:tcW w:w="814" w:type="pct"/>
            <w:tcBorders>
              <w:top w:val="single" w:color="000000" w:sz="4" w:space="0"/>
              <w:left w:val="single" w:color="000000" w:sz="4" w:space="0"/>
              <w:bottom w:val="single" w:color="000000" w:sz="4" w:space="0"/>
              <w:right w:val="single" w:color="000000" w:sz="4" w:space="0"/>
            </w:tcBorders>
            <w:vAlign w:val="center"/>
          </w:tcPr>
          <w:p w14:paraId="023945DB">
            <w:pPr>
              <w:pStyle w:val="45"/>
              <w:bidi w:val="0"/>
              <w:rPr>
                <w:rFonts w:hint="default"/>
              </w:rPr>
            </w:pPr>
            <w:r>
              <w:rPr>
                <w:rFonts w:hint="default"/>
              </w:rPr>
              <w:t>重要组分</w:t>
            </w:r>
          </w:p>
          <w:p w14:paraId="20865826">
            <w:pPr>
              <w:pStyle w:val="45"/>
              <w:bidi w:val="0"/>
              <w:rPr>
                <w:rFonts w:hint="default"/>
              </w:rPr>
            </w:pPr>
            <w:r>
              <w:rPr>
                <w:rFonts w:hint="default"/>
              </w:rPr>
              <w:t>规格、指标</w:t>
            </w:r>
          </w:p>
        </w:tc>
        <w:tc>
          <w:tcPr>
            <w:tcW w:w="941" w:type="pct"/>
            <w:tcBorders>
              <w:top w:val="single" w:color="000000" w:sz="4" w:space="0"/>
              <w:left w:val="single" w:color="000000" w:sz="4" w:space="0"/>
              <w:bottom w:val="single" w:color="000000" w:sz="4" w:space="0"/>
              <w:right w:val="single" w:color="000000" w:sz="4" w:space="0"/>
            </w:tcBorders>
            <w:vAlign w:val="center"/>
          </w:tcPr>
          <w:p w14:paraId="0F663FF1">
            <w:pPr>
              <w:pStyle w:val="45"/>
              <w:bidi w:val="0"/>
              <w:rPr>
                <w:rFonts w:hint="default"/>
              </w:rPr>
            </w:pPr>
            <w:r>
              <w:rPr>
                <w:rFonts w:hint="eastAsia"/>
                <w:lang w:val="en-US" w:eastAsia="zh-CN"/>
              </w:rPr>
              <w:t>年使用量</w:t>
            </w:r>
          </w:p>
        </w:tc>
        <w:tc>
          <w:tcPr>
            <w:tcW w:w="1075" w:type="pct"/>
            <w:tcBorders>
              <w:top w:val="single" w:color="000000" w:sz="4" w:space="0"/>
              <w:left w:val="single" w:color="000000" w:sz="4" w:space="0"/>
              <w:bottom w:val="single" w:color="000000" w:sz="4" w:space="0"/>
              <w:right w:val="single" w:color="000000" w:sz="4" w:space="0"/>
            </w:tcBorders>
            <w:vAlign w:val="center"/>
          </w:tcPr>
          <w:p w14:paraId="03AAABDE">
            <w:pPr>
              <w:pStyle w:val="45"/>
              <w:bidi w:val="0"/>
              <w:rPr>
                <w:rFonts w:hint="default"/>
              </w:rPr>
            </w:pPr>
            <w:r>
              <w:rPr>
                <w:rFonts w:hint="default"/>
              </w:rPr>
              <w:t>来源</w:t>
            </w:r>
          </w:p>
        </w:tc>
        <w:tc>
          <w:tcPr>
            <w:tcW w:w="544" w:type="pct"/>
            <w:tcBorders>
              <w:top w:val="single" w:color="000000" w:sz="4" w:space="0"/>
              <w:left w:val="single" w:color="000000" w:sz="4" w:space="0"/>
              <w:bottom w:val="single" w:color="000000" w:sz="4" w:space="0"/>
              <w:right w:val="single" w:color="000000" w:sz="4" w:space="0"/>
            </w:tcBorders>
            <w:vAlign w:val="center"/>
          </w:tcPr>
          <w:p w14:paraId="672BEBC7">
            <w:pPr>
              <w:pStyle w:val="45"/>
              <w:bidi w:val="0"/>
              <w:rPr>
                <w:rFonts w:hint="default"/>
              </w:rPr>
            </w:pPr>
            <w:r>
              <w:rPr>
                <w:rFonts w:hint="default"/>
              </w:rPr>
              <w:t>包装运输</w:t>
            </w:r>
          </w:p>
        </w:tc>
      </w:tr>
      <w:tr w14:paraId="0CCC8AF3">
        <w:tblPrEx>
          <w:tblCellMar>
            <w:top w:w="0" w:type="dxa"/>
            <w:left w:w="0" w:type="dxa"/>
            <w:bottom w:w="0" w:type="dxa"/>
            <w:right w:w="0" w:type="dxa"/>
          </w:tblCellMar>
        </w:tblPrEx>
        <w:trPr>
          <w:trHeight w:val="340" w:hRule="atLeast"/>
          <w:jc w:val="center"/>
        </w:trPr>
        <w:tc>
          <w:tcPr>
            <w:tcW w:w="410" w:type="pct"/>
            <w:vMerge w:val="restart"/>
            <w:tcBorders>
              <w:top w:val="single" w:color="000000" w:sz="4" w:space="0"/>
              <w:left w:val="single" w:color="000000" w:sz="4" w:space="0"/>
              <w:right w:val="single" w:color="000000" w:sz="4" w:space="0"/>
            </w:tcBorders>
            <w:vAlign w:val="center"/>
          </w:tcPr>
          <w:p w14:paraId="2EF74010">
            <w:pPr>
              <w:pStyle w:val="45"/>
              <w:bidi w:val="0"/>
              <w:rPr>
                <w:rFonts w:hint="default"/>
              </w:rPr>
            </w:pPr>
            <w:r>
              <w:rPr>
                <w:rFonts w:hint="default"/>
              </w:rPr>
              <w:t>原辅料</w:t>
            </w:r>
          </w:p>
        </w:tc>
        <w:tc>
          <w:tcPr>
            <w:tcW w:w="333" w:type="pct"/>
            <w:tcBorders>
              <w:top w:val="single" w:color="000000" w:sz="4" w:space="0"/>
              <w:left w:val="single" w:color="000000" w:sz="4" w:space="0"/>
              <w:bottom w:val="single" w:color="000000" w:sz="4" w:space="0"/>
              <w:right w:val="single" w:color="000000" w:sz="4" w:space="0"/>
            </w:tcBorders>
            <w:vAlign w:val="center"/>
          </w:tcPr>
          <w:p w14:paraId="082AC114">
            <w:pPr>
              <w:pStyle w:val="45"/>
              <w:bidi w:val="0"/>
              <w:rPr>
                <w:rFonts w:hint="default"/>
              </w:rPr>
            </w:pPr>
            <w:r>
              <w:rPr>
                <w:rFonts w:hint="default"/>
              </w:rPr>
              <w:t>1</w:t>
            </w:r>
          </w:p>
        </w:tc>
        <w:tc>
          <w:tcPr>
            <w:tcW w:w="879" w:type="pct"/>
            <w:tcBorders>
              <w:top w:val="single" w:color="000000" w:sz="4" w:space="0"/>
              <w:left w:val="single" w:color="000000" w:sz="4" w:space="0"/>
              <w:bottom w:val="single" w:color="000000" w:sz="4" w:space="0"/>
              <w:right w:val="single" w:color="000000" w:sz="4" w:space="0"/>
            </w:tcBorders>
            <w:vAlign w:val="center"/>
          </w:tcPr>
          <w:p w14:paraId="6F169B77">
            <w:pPr>
              <w:pStyle w:val="45"/>
              <w:bidi w:val="0"/>
              <w:rPr>
                <w:rFonts w:hint="default"/>
                <w:lang w:eastAsia="zh-CN"/>
              </w:rPr>
            </w:pPr>
            <w:r>
              <w:rPr>
                <w:rFonts w:hint="default"/>
                <w:lang w:eastAsia="zh-CN"/>
              </w:rPr>
              <w:t>偏二氯乙烯</w:t>
            </w:r>
          </w:p>
        </w:tc>
        <w:tc>
          <w:tcPr>
            <w:tcW w:w="814" w:type="pct"/>
            <w:tcBorders>
              <w:top w:val="single" w:color="000000" w:sz="4" w:space="0"/>
              <w:left w:val="single" w:color="000000" w:sz="4" w:space="0"/>
              <w:bottom w:val="single" w:color="000000" w:sz="4" w:space="0"/>
              <w:right w:val="single" w:color="000000" w:sz="4" w:space="0"/>
            </w:tcBorders>
            <w:vAlign w:val="center"/>
          </w:tcPr>
          <w:p w14:paraId="096E81BD">
            <w:pPr>
              <w:pStyle w:val="45"/>
              <w:bidi w:val="0"/>
              <w:rPr>
                <w:rFonts w:hint="default"/>
              </w:rPr>
            </w:pPr>
            <w:r>
              <w:rPr>
                <w:rFonts w:hint="default"/>
              </w:rPr>
              <w:t>＞99.5%</w:t>
            </w:r>
          </w:p>
        </w:tc>
        <w:tc>
          <w:tcPr>
            <w:tcW w:w="941" w:type="pct"/>
            <w:tcBorders>
              <w:top w:val="single" w:color="000000" w:sz="4" w:space="0"/>
              <w:left w:val="single" w:color="000000" w:sz="4" w:space="0"/>
              <w:bottom w:val="single" w:color="000000" w:sz="4" w:space="0"/>
              <w:right w:val="single" w:color="000000" w:sz="4" w:space="0"/>
            </w:tcBorders>
            <w:vAlign w:val="center"/>
          </w:tcPr>
          <w:p w14:paraId="2B2E39FB">
            <w:pPr>
              <w:pStyle w:val="45"/>
              <w:bidi w:val="0"/>
              <w:rPr>
                <w:rFonts w:hint="default"/>
              </w:rPr>
            </w:pPr>
            <w:r>
              <w:rPr>
                <w:rFonts w:hint="eastAsia"/>
                <w:lang w:val="en-US" w:eastAsia="zh-CN"/>
              </w:rPr>
              <w:t>5432.68吨</w:t>
            </w:r>
          </w:p>
        </w:tc>
        <w:tc>
          <w:tcPr>
            <w:tcW w:w="1075" w:type="pct"/>
            <w:tcBorders>
              <w:top w:val="single" w:color="000000" w:sz="4" w:space="0"/>
              <w:left w:val="single" w:color="000000" w:sz="4" w:space="0"/>
              <w:bottom w:val="single" w:color="000000" w:sz="4" w:space="0"/>
              <w:right w:val="single" w:color="000000" w:sz="4" w:space="0"/>
            </w:tcBorders>
            <w:vAlign w:val="center"/>
          </w:tcPr>
          <w:p w14:paraId="6F6C5EC6">
            <w:pPr>
              <w:pStyle w:val="45"/>
              <w:bidi w:val="0"/>
              <w:rPr>
                <w:rFonts w:hint="default"/>
              </w:rPr>
            </w:pPr>
            <w:r>
              <w:rPr>
                <w:rFonts w:hint="default"/>
              </w:rPr>
              <w:t>巨化</w:t>
            </w:r>
          </w:p>
        </w:tc>
        <w:tc>
          <w:tcPr>
            <w:tcW w:w="544" w:type="pct"/>
            <w:tcBorders>
              <w:top w:val="single" w:color="000000" w:sz="4" w:space="0"/>
              <w:left w:val="single" w:color="000000" w:sz="4" w:space="0"/>
              <w:bottom w:val="single" w:color="000000" w:sz="4" w:space="0"/>
              <w:right w:val="single" w:color="000000" w:sz="4" w:space="0"/>
            </w:tcBorders>
            <w:vAlign w:val="center"/>
          </w:tcPr>
          <w:p w14:paraId="60EF6A60">
            <w:pPr>
              <w:pStyle w:val="45"/>
              <w:bidi w:val="0"/>
              <w:rPr>
                <w:rFonts w:hint="default"/>
              </w:rPr>
            </w:pPr>
            <w:r>
              <w:rPr>
                <w:rFonts w:hint="default"/>
              </w:rPr>
              <w:t>槽车</w:t>
            </w:r>
          </w:p>
        </w:tc>
      </w:tr>
      <w:tr w14:paraId="1481B9DC">
        <w:tblPrEx>
          <w:tblCellMar>
            <w:top w:w="0" w:type="dxa"/>
            <w:left w:w="0" w:type="dxa"/>
            <w:bottom w:w="0" w:type="dxa"/>
            <w:right w:w="0" w:type="dxa"/>
          </w:tblCellMar>
        </w:tblPrEx>
        <w:trPr>
          <w:trHeight w:val="340" w:hRule="atLeast"/>
          <w:jc w:val="center"/>
        </w:trPr>
        <w:tc>
          <w:tcPr>
            <w:tcW w:w="410" w:type="pct"/>
            <w:vMerge w:val="continue"/>
            <w:tcBorders>
              <w:left w:val="single" w:color="000000" w:sz="4" w:space="0"/>
              <w:right w:val="single" w:color="000000" w:sz="4" w:space="0"/>
            </w:tcBorders>
            <w:vAlign w:val="center"/>
          </w:tcPr>
          <w:p w14:paraId="792B488B">
            <w:pPr>
              <w:pStyle w:val="45"/>
              <w:bidi w:val="0"/>
              <w:rPr>
                <w:rFonts w:hint="default"/>
              </w:rPr>
            </w:pPr>
          </w:p>
        </w:tc>
        <w:tc>
          <w:tcPr>
            <w:tcW w:w="333" w:type="pct"/>
            <w:tcBorders>
              <w:top w:val="single" w:color="000000" w:sz="4" w:space="0"/>
              <w:left w:val="single" w:color="000000" w:sz="4" w:space="0"/>
              <w:bottom w:val="single" w:color="000000" w:sz="4" w:space="0"/>
              <w:right w:val="single" w:color="000000" w:sz="4" w:space="0"/>
            </w:tcBorders>
            <w:vAlign w:val="center"/>
          </w:tcPr>
          <w:p w14:paraId="28CD483E">
            <w:pPr>
              <w:pStyle w:val="45"/>
              <w:bidi w:val="0"/>
              <w:rPr>
                <w:rFonts w:hint="default"/>
              </w:rPr>
            </w:pPr>
            <w:r>
              <w:rPr>
                <w:rFonts w:hint="default"/>
              </w:rPr>
              <w:t>2</w:t>
            </w:r>
          </w:p>
        </w:tc>
        <w:tc>
          <w:tcPr>
            <w:tcW w:w="879" w:type="pct"/>
            <w:tcBorders>
              <w:top w:val="single" w:color="000000" w:sz="4" w:space="0"/>
              <w:left w:val="single" w:color="000000" w:sz="4" w:space="0"/>
              <w:bottom w:val="single" w:color="000000" w:sz="4" w:space="0"/>
              <w:right w:val="single" w:color="000000" w:sz="4" w:space="0"/>
            </w:tcBorders>
            <w:vAlign w:val="center"/>
          </w:tcPr>
          <w:p w14:paraId="4080B54A">
            <w:pPr>
              <w:pStyle w:val="45"/>
              <w:bidi w:val="0"/>
              <w:rPr>
                <w:rFonts w:hint="default"/>
              </w:rPr>
            </w:pPr>
            <w:r>
              <w:rPr>
                <w:rFonts w:hint="default"/>
              </w:rPr>
              <w:t>氟化氢</w:t>
            </w:r>
          </w:p>
        </w:tc>
        <w:tc>
          <w:tcPr>
            <w:tcW w:w="814" w:type="pct"/>
            <w:tcBorders>
              <w:top w:val="single" w:color="000000" w:sz="4" w:space="0"/>
              <w:left w:val="single" w:color="000000" w:sz="4" w:space="0"/>
              <w:bottom w:val="single" w:color="000000" w:sz="4" w:space="0"/>
              <w:right w:val="single" w:color="000000" w:sz="4" w:space="0"/>
            </w:tcBorders>
            <w:vAlign w:val="center"/>
          </w:tcPr>
          <w:p w14:paraId="399C3C1F">
            <w:pPr>
              <w:pStyle w:val="45"/>
              <w:bidi w:val="0"/>
              <w:rPr>
                <w:rFonts w:hint="default"/>
              </w:rPr>
            </w:pPr>
            <w:r>
              <w:rPr>
                <w:rFonts w:hint="default"/>
              </w:rPr>
              <w:t>＞99.8%</w:t>
            </w:r>
          </w:p>
        </w:tc>
        <w:tc>
          <w:tcPr>
            <w:tcW w:w="941" w:type="pct"/>
            <w:tcBorders>
              <w:top w:val="single" w:color="000000" w:sz="4" w:space="0"/>
              <w:left w:val="single" w:color="000000" w:sz="4" w:space="0"/>
              <w:bottom w:val="single" w:color="000000" w:sz="4" w:space="0"/>
              <w:right w:val="single" w:color="000000" w:sz="4" w:space="0"/>
            </w:tcBorders>
            <w:vAlign w:val="center"/>
          </w:tcPr>
          <w:p w14:paraId="5DCA9D42">
            <w:pPr>
              <w:pStyle w:val="45"/>
              <w:bidi w:val="0"/>
              <w:rPr>
                <w:rFonts w:hint="default"/>
              </w:rPr>
            </w:pPr>
            <w:r>
              <w:rPr>
                <w:rFonts w:hint="eastAsia"/>
                <w:lang w:val="en-US" w:eastAsia="zh-CN"/>
              </w:rPr>
              <w:t>1178.06吨</w:t>
            </w:r>
          </w:p>
        </w:tc>
        <w:tc>
          <w:tcPr>
            <w:tcW w:w="1075" w:type="pct"/>
            <w:tcBorders>
              <w:top w:val="single" w:color="000000" w:sz="4" w:space="0"/>
              <w:left w:val="single" w:color="000000" w:sz="4" w:space="0"/>
              <w:bottom w:val="single" w:color="000000" w:sz="4" w:space="0"/>
              <w:right w:val="single" w:color="000000" w:sz="4" w:space="0"/>
            </w:tcBorders>
            <w:vAlign w:val="center"/>
          </w:tcPr>
          <w:p w14:paraId="43F38BAA">
            <w:pPr>
              <w:pStyle w:val="45"/>
              <w:bidi w:val="0"/>
              <w:rPr>
                <w:rFonts w:hint="default"/>
              </w:rPr>
            </w:pPr>
            <w:r>
              <w:rPr>
                <w:rFonts w:hint="default"/>
              </w:rPr>
              <w:t>本公司配套</w:t>
            </w:r>
          </w:p>
        </w:tc>
        <w:tc>
          <w:tcPr>
            <w:tcW w:w="544" w:type="pct"/>
            <w:tcBorders>
              <w:top w:val="single" w:color="000000" w:sz="4" w:space="0"/>
              <w:left w:val="single" w:color="000000" w:sz="4" w:space="0"/>
              <w:bottom w:val="single" w:color="000000" w:sz="4" w:space="0"/>
              <w:right w:val="single" w:color="000000" w:sz="4" w:space="0"/>
            </w:tcBorders>
            <w:vAlign w:val="center"/>
          </w:tcPr>
          <w:p w14:paraId="48F5A0B3">
            <w:pPr>
              <w:pStyle w:val="45"/>
              <w:bidi w:val="0"/>
              <w:rPr>
                <w:rFonts w:hint="default"/>
              </w:rPr>
            </w:pPr>
            <w:r>
              <w:rPr>
                <w:rFonts w:hint="default"/>
              </w:rPr>
              <w:t>管道</w:t>
            </w:r>
          </w:p>
        </w:tc>
      </w:tr>
      <w:tr w14:paraId="70F5F035">
        <w:tblPrEx>
          <w:tblCellMar>
            <w:top w:w="0" w:type="dxa"/>
            <w:left w:w="0" w:type="dxa"/>
            <w:bottom w:w="0" w:type="dxa"/>
            <w:right w:w="0" w:type="dxa"/>
          </w:tblCellMar>
        </w:tblPrEx>
        <w:trPr>
          <w:trHeight w:val="340" w:hRule="atLeast"/>
          <w:jc w:val="center"/>
        </w:trPr>
        <w:tc>
          <w:tcPr>
            <w:tcW w:w="410" w:type="pct"/>
            <w:vMerge w:val="continue"/>
            <w:tcBorders>
              <w:left w:val="single" w:color="000000" w:sz="4" w:space="0"/>
              <w:right w:val="single" w:color="000000" w:sz="4" w:space="0"/>
            </w:tcBorders>
            <w:vAlign w:val="center"/>
          </w:tcPr>
          <w:p w14:paraId="727B55B1">
            <w:pPr>
              <w:pStyle w:val="45"/>
              <w:bidi w:val="0"/>
              <w:rPr>
                <w:rFonts w:hint="default"/>
              </w:rPr>
            </w:pPr>
          </w:p>
        </w:tc>
        <w:tc>
          <w:tcPr>
            <w:tcW w:w="333" w:type="pct"/>
            <w:tcBorders>
              <w:top w:val="single" w:color="000000" w:sz="4" w:space="0"/>
              <w:left w:val="single" w:color="000000" w:sz="4" w:space="0"/>
              <w:bottom w:val="single" w:color="000000" w:sz="4" w:space="0"/>
              <w:right w:val="single" w:color="000000" w:sz="4" w:space="0"/>
            </w:tcBorders>
            <w:vAlign w:val="center"/>
          </w:tcPr>
          <w:p w14:paraId="06FF64E8">
            <w:pPr>
              <w:pStyle w:val="45"/>
              <w:bidi w:val="0"/>
              <w:rPr>
                <w:rFonts w:hint="default"/>
              </w:rPr>
            </w:pPr>
            <w:r>
              <w:rPr>
                <w:rFonts w:hint="default"/>
              </w:rPr>
              <w:t>3</w:t>
            </w:r>
          </w:p>
        </w:tc>
        <w:tc>
          <w:tcPr>
            <w:tcW w:w="879" w:type="pct"/>
            <w:tcBorders>
              <w:top w:val="single" w:color="000000" w:sz="4" w:space="0"/>
              <w:left w:val="single" w:color="000000" w:sz="4" w:space="0"/>
              <w:bottom w:val="single" w:color="000000" w:sz="4" w:space="0"/>
              <w:right w:val="single" w:color="000000" w:sz="4" w:space="0"/>
            </w:tcBorders>
            <w:vAlign w:val="center"/>
          </w:tcPr>
          <w:p w14:paraId="6561C1B9">
            <w:pPr>
              <w:pStyle w:val="45"/>
              <w:bidi w:val="0"/>
              <w:rPr>
                <w:rFonts w:hint="default"/>
              </w:rPr>
            </w:pPr>
            <w:r>
              <w:rPr>
                <w:rFonts w:hint="default"/>
              </w:rPr>
              <w:t>液碱</w:t>
            </w:r>
          </w:p>
        </w:tc>
        <w:tc>
          <w:tcPr>
            <w:tcW w:w="814" w:type="pct"/>
            <w:tcBorders>
              <w:top w:val="single" w:color="000000" w:sz="4" w:space="0"/>
              <w:left w:val="single" w:color="000000" w:sz="4" w:space="0"/>
              <w:bottom w:val="single" w:color="000000" w:sz="4" w:space="0"/>
              <w:right w:val="single" w:color="000000" w:sz="4" w:space="0"/>
            </w:tcBorders>
            <w:vAlign w:val="center"/>
          </w:tcPr>
          <w:p w14:paraId="11D02A9E">
            <w:pPr>
              <w:pStyle w:val="45"/>
              <w:bidi w:val="0"/>
              <w:rPr>
                <w:rFonts w:hint="default"/>
              </w:rPr>
            </w:pPr>
            <w:r>
              <w:rPr>
                <w:rFonts w:hint="default"/>
              </w:rPr>
              <w:t>30%</w:t>
            </w:r>
          </w:p>
        </w:tc>
        <w:tc>
          <w:tcPr>
            <w:tcW w:w="941" w:type="pct"/>
            <w:tcBorders>
              <w:top w:val="single" w:color="000000" w:sz="4" w:space="0"/>
              <w:left w:val="single" w:color="000000" w:sz="4" w:space="0"/>
              <w:bottom w:val="single" w:color="000000" w:sz="4" w:space="0"/>
              <w:right w:val="single" w:color="000000" w:sz="4" w:space="0"/>
            </w:tcBorders>
            <w:vAlign w:val="center"/>
          </w:tcPr>
          <w:p w14:paraId="2636F2DA">
            <w:pPr>
              <w:pStyle w:val="45"/>
              <w:bidi w:val="0"/>
              <w:rPr>
                <w:rFonts w:hint="default"/>
              </w:rPr>
            </w:pPr>
            <w:r>
              <w:rPr>
                <w:rFonts w:hint="eastAsia"/>
                <w:lang w:val="en-US" w:eastAsia="zh-CN"/>
              </w:rPr>
              <w:t>24.77吨</w:t>
            </w:r>
          </w:p>
        </w:tc>
        <w:tc>
          <w:tcPr>
            <w:tcW w:w="1075" w:type="pct"/>
            <w:tcBorders>
              <w:top w:val="single" w:color="000000" w:sz="4" w:space="0"/>
              <w:left w:val="single" w:color="000000" w:sz="4" w:space="0"/>
              <w:bottom w:val="single" w:color="000000" w:sz="4" w:space="0"/>
              <w:right w:val="single" w:color="000000" w:sz="4" w:space="0"/>
            </w:tcBorders>
            <w:vAlign w:val="center"/>
          </w:tcPr>
          <w:p w14:paraId="5DF89FAA">
            <w:pPr>
              <w:pStyle w:val="45"/>
              <w:bidi w:val="0"/>
              <w:rPr>
                <w:rFonts w:hint="default"/>
              </w:rPr>
            </w:pPr>
            <w:r>
              <w:rPr>
                <w:rFonts w:hint="default"/>
              </w:rPr>
              <w:t>永盛化工</w:t>
            </w:r>
          </w:p>
        </w:tc>
        <w:tc>
          <w:tcPr>
            <w:tcW w:w="544" w:type="pct"/>
            <w:tcBorders>
              <w:top w:val="single" w:color="000000" w:sz="4" w:space="0"/>
              <w:left w:val="single" w:color="000000" w:sz="4" w:space="0"/>
              <w:bottom w:val="single" w:color="000000" w:sz="4" w:space="0"/>
              <w:right w:val="single" w:color="000000" w:sz="4" w:space="0"/>
            </w:tcBorders>
            <w:vAlign w:val="center"/>
          </w:tcPr>
          <w:p w14:paraId="6FCFC18F">
            <w:pPr>
              <w:pStyle w:val="45"/>
              <w:bidi w:val="0"/>
              <w:rPr>
                <w:rFonts w:hint="default"/>
              </w:rPr>
            </w:pPr>
            <w:r>
              <w:rPr>
                <w:rFonts w:hint="default"/>
              </w:rPr>
              <w:t>槽车</w:t>
            </w:r>
          </w:p>
        </w:tc>
      </w:tr>
      <w:tr w14:paraId="3B8BE75F">
        <w:tblPrEx>
          <w:tblCellMar>
            <w:top w:w="0" w:type="dxa"/>
            <w:left w:w="0" w:type="dxa"/>
            <w:bottom w:w="0" w:type="dxa"/>
            <w:right w:w="0" w:type="dxa"/>
          </w:tblCellMar>
        </w:tblPrEx>
        <w:trPr>
          <w:trHeight w:val="340" w:hRule="atLeast"/>
          <w:jc w:val="center"/>
        </w:trPr>
        <w:tc>
          <w:tcPr>
            <w:tcW w:w="410" w:type="pct"/>
            <w:vMerge w:val="continue"/>
            <w:tcBorders>
              <w:left w:val="single" w:color="000000" w:sz="4" w:space="0"/>
              <w:bottom w:val="single" w:color="000000" w:sz="4" w:space="0"/>
              <w:right w:val="single" w:color="000000" w:sz="4" w:space="0"/>
            </w:tcBorders>
            <w:vAlign w:val="center"/>
          </w:tcPr>
          <w:p w14:paraId="20DCE24B">
            <w:pPr>
              <w:pStyle w:val="45"/>
              <w:bidi w:val="0"/>
              <w:rPr>
                <w:rFonts w:hint="default"/>
              </w:rPr>
            </w:pPr>
          </w:p>
        </w:tc>
        <w:tc>
          <w:tcPr>
            <w:tcW w:w="333" w:type="pct"/>
            <w:tcBorders>
              <w:top w:val="single" w:color="000000" w:sz="4" w:space="0"/>
              <w:left w:val="single" w:color="000000" w:sz="4" w:space="0"/>
              <w:bottom w:val="single" w:color="000000" w:sz="4" w:space="0"/>
              <w:right w:val="single" w:color="000000" w:sz="4" w:space="0"/>
            </w:tcBorders>
            <w:vAlign w:val="center"/>
          </w:tcPr>
          <w:p w14:paraId="14DDCBF8">
            <w:pPr>
              <w:pStyle w:val="45"/>
              <w:bidi w:val="0"/>
              <w:rPr>
                <w:rFonts w:hint="eastAsia"/>
                <w:lang w:eastAsia="zh-CN"/>
              </w:rPr>
            </w:pPr>
            <w:r>
              <w:rPr>
                <w:rFonts w:hint="eastAsia"/>
                <w:lang w:val="en-US" w:eastAsia="zh-CN"/>
              </w:rPr>
              <w:t>4</w:t>
            </w:r>
          </w:p>
        </w:tc>
        <w:tc>
          <w:tcPr>
            <w:tcW w:w="879" w:type="pct"/>
            <w:tcBorders>
              <w:top w:val="single" w:color="000000" w:sz="4" w:space="0"/>
              <w:left w:val="single" w:color="000000" w:sz="4" w:space="0"/>
              <w:bottom w:val="single" w:color="000000" w:sz="4" w:space="0"/>
              <w:right w:val="single" w:color="000000" w:sz="4" w:space="0"/>
            </w:tcBorders>
            <w:vAlign w:val="center"/>
          </w:tcPr>
          <w:p w14:paraId="44709951">
            <w:pPr>
              <w:pStyle w:val="45"/>
              <w:bidi w:val="0"/>
              <w:rPr>
                <w:rFonts w:hint="eastAsia"/>
                <w:lang w:eastAsia="zh-CN"/>
              </w:rPr>
            </w:pPr>
            <w:r>
              <w:rPr>
                <w:rFonts w:hint="eastAsia"/>
                <w:lang w:eastAsia="zh-CN"/>
              </w:rPr>
              <w:t>催化剂（溴）</w:t>
            </w:r>
          </w:p>
        </w:tc>
        <w:tc>
          <w:tcPr>
            <w:tcW w:w="814" w:type="pct"/>
            <w:tcBorders>
              <w:top w:val="single" w:color="000000" w:sz="4" w:space="0"/>
              <w:left w:val="single" w:color="000000" w:sz="4" w:space="0"/>
              <w:bottom w:val="single" w:color="000000" w:sz="4" w:space="0"/>
              <w:right w:val="single" w:color="000000" w:sz="4" w:space="0"/>
            </w:tcBorders>
            <w:vAlign w:val="center"/>
          </w:tcPr>
          <w:p w14:paraId="4B92E513">
            <w:pPr>
              <w:pStyle w:val="45"/>
              <w:bidi w:val="0"/>
              <w:rPr>
                <w:rFonts w:hint="default"/>
              </w:rPr>
            </w:pPr>
            <w:r>
              <w:rPr>
                <w:rFonts w:hint="default"/>
              </w:rPr>
              <w:t>99.9%</w:t>
            </w:r>
          </w:p>
        </w:tc>
        <w:tc>
          <w:tcPr>
            <w:tcW w:w="941" w:type="pct"/>
            <w:tcBorders>
              <w:top w:val="single" w:color="000000" w:sz="4" w:space="0"/>
              <w:left w:val="single" w:color="000000" w:sz="4" w:space="0"/>
              <w:bottom w:val="single" w:color="000000" w:sz="4" w:space="0"/>
              <w:right w:val="single" w:color="000000" w:sz="4" w:space="0"/>
            </w:tcBorders>
            <w:vAlign w:val="center"/>
          </w:tcPr>
          <w:p w14:paraId="6ADDD34F">
            <w:pPr>
              <w:pStyle w:val="45"/>
              <w:bidi w:val="0"/>
              <w:rPr>
                <w:rFonts w:hint="default"/>
              </w:rPr>
            </w:pPr>
            <w:r>
              <w:rPr>
                <w:rFonts w:hint="eastAsia"/>
                <w:lang w:val="en-US" w:eastAsia="zh-CN"/>
              </w:rPr>
              <w:t>20.22吨</w:t>
            </w:r>
          </w:p>
        </w:tc>
        <w:tc>
          <w:tcPr>
            <w:tcW w:w="1075" w:type="pct"/>
            <w:tcBorders>
              <w:top w:val="single" w:color="000000" w:sz="4" w:space="0"/>
              <w:left w:val="single" w:color="000000" w:sz="4" w:space="0"/>
              <w:bottom w:val="single" w:color="000000" w:sz="4" w:space="0"/>
              <w:right w:val="single" w:color="000000" w:sz="4" w:space="0"/>
            </w:tcBorders>
            <w:vAlign w:val="center"/>
          </w:tcPr>
          <w:p w14:paraId="3F5BAC74">
            <w:pPr>
              <w:pStyle w:val="45"/>
              <w:bidi w:val="0"/>
              <w:rPr>
                <w:rFonts w:hint="default"/>
              </w:rPr>
            </w:pPr>
            <w:r>
              <w:rPr>
                <w:rFonts w:hint="default"/>
              </w:rPr>
              <w:t>沃德化工</w:t>
            </w:r>
          </w:p>
        </w:tc>
        <w:tc>
          <w:tcPr>
            <w:tcW w:w="544" w:type="pct"/>
            <w:tcBorders>
              <w:top w:val="single" w:color="000000" w:sz="4" w:space="0"/>
              <w:left w:val="single" w:color="000000" w:sz="4" w:space="0"/>
              <w:bottom w:val="single" w:color="000000" w:sz="4" w:space="0"/>
              <w:right w:val="single" w:color="000000" w:sz="4" w:space="0"/>
            </w:tcBorders>
            <w:vAlign w:val="center"/>
          </w:tcPr>
          <w:p w14:paraId="06BCBCA6">
            <w:pPr>
              <w:pStyle w:val="45"/>
              <w:bidi w:val="0"/>
              <w:rPr>
                <w:rFonts w:hint="default"/>
              </w:rPr>
            </w:pPr>
            <w:r>
              <w:rPr>
                <w:rFonts w:hint="default"/>
              </w:rPr>
              <w:t>汽车</w:t>
            </w:r>
          </w:p>
        </w:tc>
      </w:tr>
      <w:tr w14:paraId="2CCB0FC0">
        <w:tblPrEx>
          <w:tblCellMar>
            <w:top w:w="0" w:type="dxa"/>
            <w:left w:w="0" w:type="dxa"/>
            <w:bottom w:w="0" w:type="dxa"/>
            <w:right w:w="0" w:type="dxa"/>
          </w:tblCellMar>
        </w:tblPrEx>
        <w:trPr>
          <w:trHeight w:val="340"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14:paraId="3C33DDD3">
            <w:pPr>
              <w:pStyle w:val="45"/>
              <w:bidi w:val="0"/>
              <w:rPr>
                <w:rFonts w:hint="default"/>
              </w:rPr>
            </w:pPr>
            <w:r>
              <w:rPr>
                <w:rFonts w:hint="default"/>
              </w:rPr>
              <w:t>水</w:t>
            </w:r>
          </w:p>
        </w:tc>
        <w:tc>
          <w:tcPr>
            <w:tcW w:w="333" w:type="pct"/>
            <w:tcBorders>
              <w:top w:val="single" w:color="000000" w:sz="4" w:space="0"/>
              <w:left w:val="single" w:color="000000" w:sz="4" w:space="0"/>
              <w:bottom w:val="single" w:color="000000" w:sz="4" w:space="0"/>
              <w:right w:val="single" w:color="000000" w:sz="4" w:space="0"/>
            </w:tcBorders>
            <w:vAlign w:val="center"/>
          </w:tcPr>
          <w:p w14:paraId="1EFF96DF">
            <w:pPr>
              <w:pStyle w:val="45"/>
              <w:bidi w:val="0"/>
              <w:rPr>
                <w:rFonts w:hint="eastAsia"/>
                <w:lang w:eastAsia="zh-CN"/>
              </w:rPr>
            </w:pPr>
            <w:r>
              <w:rPr>
                <w:rFonts w:hint="eastAsia"/>
                <w:lang w:val="en-US" w:eastAsia="zh-CN"/>
              </w:rPr>
              <w:t>5</w:t>
            </w:r>
          </w:p>
        </w:tc>
        <w:tc>
          <w:tcPr>
            <w:tcW w:w="879" w:type="pct"/>
            <w:tcBorders>
              <w:top w:val="single" w:color="000000" w:sz="4" w:space="0"/>
              <w:left w:val="single" w:color="000000" w:sz="4" w:space="0"/>
              <w:bottom w:val="single" w:color="000000" w:sz="4" w:space="0"/>
              <w:right w:val="single" w:color="000000" w:sz="4" w:space="0"/>
            </w:tcBorders>
            <w:vAlign w:val="center"/>
          </w:tcPr>
          <w:p w14:paraId="455B6385">
            <w:pPr>
              <w:pStyle w:val="45"/>
              <w:bidi w:val="0"/>
              <w:rPr>
                <w:rFonts w:hint="default"/>
              </w:rPr>
            </w:pPr>
            <w:r>
              <w:rPr>
                <w:rFonts w:hint="default"/>
              </w:rPr>
              <w:t>工业用水</w:t>
            </w:r>
          </w:p>
        </w:tc>
        <w:tc>
          <w:tcPr>
            <w:tcW w:w="814" w:type="pct"/>
            <w:tcBorders>
              <w:top w:val="single" w:color="000000" w:sz="4" w:space="0"/>
              <w:left w:val="single" w:color="000000" w:sz="4" w:space="0"/>
              <w:bottom w:val="single" w:color="000000" w:sz="4" w:space="0"/>
              <w:right w:val="single" w:color="000000" w:sz="4" w:space="0"/>
            </w:tcBorders>
            <w:vAlign w:val="center"/>
          </w:tcPr>
          <w:p w14:paraId="746D039E">
            <w:pPr>
              <w:pStyle w:val="45"/>
              <w:bidi w:val="0"/>
              <w:rPr>
                <w:rFonts w:hint="default"/>
              </w:rPr>
            </w:pPr>
            <w:r>
              <w:rPr>
                <w:rFonts w:hint="default"/>
              </w:rPr>
              <w:t>0.2MPa，32℃</w:t>
            </w:r>
          </w:p>
        </w:tc>
        <w:tc>
          <w:tcPr>
            <w:tcW w:w="941" w:type="pct"/>
            <w:tcBorders>
              <w:top w:val="single" w:color="000000" w:sz="4" w:space="0"/>
              <w:left w:val="single" w:color="000000" w:sz="4" w:space="0"/>
              <w:bottom w:val="single" w:color="000000" w:sz="4" w:space="0"/>
              <w:right w:val="single" w:color="000000" w:sz="4" w:space="0"/>
            </w:tcBorders>
            <w:vAlign w:val="center"/>
          </w:tcPr>
          <w:p w14:paraId="23AD1226">
            <w:pPr>
              <w:pStyle w:val="45"/>
              <w:bidi w:val="0"/>
              <w:rPr>
                <w:rFonts w:hint="default"/>
              </w:rPr>
            </w:pPr>
            <w:r>
              <w:rPr>
                <w:rFonts w:hint="eastAsia"/>
                <w:lang w:val="en-US" w:eastAsia="zh-CN"/>
              </w:rPr>
              <w:t>3557吨</w:t>
            </w:r>
          </w:p>
        </w:tc>
        <w:tc>
          <w:tcPr>
            <w:tcW w:w="1075" w:type="pct"/>
            <w:tcBorders>
              <w:top w:val="single" w:color="000000" w:sz="4" w:space="0"/>
              <w:left w:val="single" w:color="000000" w:sz="4" w:space="0"/>
              <w:bottom w:val="single" w:color="000000" w:sz="4" w:space="0"/>
              <w:right w:val="single" w:color="000000" w:sz="4" w:space="0"/>
            </w:tcBorders>
            <w:vAlign w:val="center"/>
          </w:tcPr>
          <w:p w14:paraId="186222BB">
            <w:pPr>
              <w:pStyle w:val="45"/>
              <w:bidi w:val="0"/>
              <w:rPr>
                <w:rFonts w:hint="default"/>
              </w:rPr>
            </w:pPr>
            <w:r>
              <w:rPr>
                <w:rFonts w:hint="default"/>
              </w:rPr>
              <w:t>工业用水管网</w:t>
            </w:r>
          </w:p>
        </w:tc>
        <w:tc>
          <w:tcPr>
            <w:tcW w:w="544" w:type="pct"/>
            <w:tcBorders>
              <w:top w:val="single" w:color="000000" w:sz="4" w:space="0"/>
              <w:left w:val="single" w:color="000000" w:sz="4" w:space="0"/>
              <w:bottom w:val="single" w:color="000000" w:sz="4" w:space="0"/>
              <w:right w:val="single" w:color="000000" w:sz="4" w:space="0"/>
            </w:tcBorders>
            <w:vAlign w:val="center"/>
          </w:tcPr>
          <w:p w14:paraId="0016CC4E">
            <w:pPr>
              <w:pStyle w:val="45"/>
              <w:bidi w:val="0"/>
              <w:rPr>
                <w:rFonts w:hint="default"/>
              </w:rPr>
            </w:pPr>
            <w:r>
              <w:rPr>
                <w:rFonts w:hint="default"/>
              </w:rPr>
              <w:t>管道</w:t>
            </w:r>
          </w:p>
        </w:tc>
      </w:tr>
      <w:tr w14:paraId="1DA931A5">
        <w:tblPrEx>
          <w:tblCellMar>
            <w:top w:w="0" w:type="dxa"/>
            <w:left w:w="0" w:type="dxa"/>
            <w:bottom w:w="0" w:type="dxa"/>
            <w:right w:w="0" w:type="dxa"/>
          </w:tblCellMar>
        </w:tblPrEx>
        <w:trPr>
          <w:trHeight w:val="340"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14:paraId="2739C21C">
            <w:pPr>
              <w:pStyle w:val="45"/>
              <w:bidi w:val="0"/>
              <w:rPr>
                <w:rFonts w:hint="default"/>
              </w:rPr>
            </w:pPr>
            <w:r>
              <w:rPr>
                <w:rFonts w:hint="default"/>
              </w:rPr>
              <w:t>电</w:t>
            </w:r>
          </w:p>
        </w:tc>
        <w:tc>
          <w:tcPr>
            <w:tcW w:w="333" w:type="pct"/>
            <w:tcBorders>
              <w:top w:val="single" w:color="000000" w:sz="4" w:space="0"/>
              <w:left w:val="single" w:color="000000" w:sz="4" w:space="0"/>
              <w:bottom w:val="single" w:color="000000" w:sz="4" w:space="0"/>
              <w:right w:val="single" w:color="000000" w:sz="4" w:space="0"/>
            </w:tcBorders>
            <w:vAlign w:val="center"/>
          </w:tcPr>
          <w:p w14:paraId="7D60459B">
            <w:pPr>
              <w:pStyle w:val="45"/>
              <w:bidi w:val="0"/>
              <w:rPr>
                <w:rFonts w:hint="eastAsia"/>
                <w:lang w:eastAsia="zh-CN"/>
              </w:rPr>
            </w:pPr>
            <w:r>
              <w:rPr>
                <w:rFonts w:hint="eastAsia"/>
                <w:lang w:val="en-US" w:eastAsia="zh-CN"/>
              </w:rPr>
              <w:t>6</w:t>
            </w:r>
          </w:p>
        </w:tc>
        <w:tc>
          <w:tcPr>
            <w:tcW w:w="879" w:type="pct"/>
            <w:tcBorders>
              <w:top w:val="single" w:color="000000" w:sz="4" w:space="0"/>
              <w:left w:val="single" w:color="000000" w:sz="4" w:space="0"/>
              <w:bottom w:val="single" w:color="000000" w:sz="4" w:space="0"/>
              <w:right w:val="single" w:color="000000" w:sz="4" w:space="0"/>
            </w:tcBorders>
            <w:vAlign w:val="center"/>
          </w:tcPr>
          <w:p w14:paraId="5D0A22E9">
            <w:pPr>
              <w:pStyle w:val="45"/>
              <w:bidi w:val="0"/>
              <w:rPr>
                <w:rFonts w:hint="default"/>
              </w:rPr>
            </w:pPr>
            <w:r>
              <w:rPr>
                <w:rFonts w:hint="default"/>
              </w:rPr>
              <w:t>生产用电</w:t>
            </w:r>
          </w:p>
        </w:tc>
        <w:tc>
          <w:tcPr>
            <w:tcW w:w="814" w:type="pct"/>
            <w:tcBorders>
              <w:top w:val="single" w:color="000000" w:sz="4" w:space="0"/>
              <w:left w:val="single" w:color="000000" w:sz="4" w:space="0"/>
              <w:bottom w:val="single" w:color="000000" w:sz="4" w:space="0"/>
              <w:right w:val="single" w:color="000000" w:sz="4" w:space="0"/>
            </w:tcBorders>
            <w:vAlign w:val="center"/>
          </w:tcPr>
          <w:p w14:paraId="68D59CD7">
            <w:pPr>
              <w:pStyle w:val="45"/>
              <w:bidi w:val="0"/>
              <w:rPr>
                <w:rFonts w:hint="default"/>
              </w:rPr>
            </w:pPr>
            <w:r>
              <w:rPr>
                <w:rFonts w:hint="default"/>
              </w:rPr>
              <w:t>380v</w:t>
            </w:r>
          </w:p>
        </w:tc>
        <w:tc>
          <w:tcPr>
            <w:tcW w:w="941" w:type="pct"/>
            <w:tcBorders>
              <w:top w:val="single" w:color="000000" w:sz="4" w:space="0"/>
              <w:left w:val="single" w:color="000000" w:sz="4" w:space="0"/>
              <w:bottom w:val="single" w:color="000000" w:sz="4" w:space="0"/>
              <w:right w:val="single" w:color="000000" w:sz="4" w:space="0"/>
            </w:tcBorders>
            <w:vAlign w:val="center"/>
          </w:tcPr>
          <w:p w14:paraId="0CAEB735">
            <w:pPr>
              <w:pStyle w:val="45"/>
              <w:bidi w:val="0"/>
              <w:rPr>
                <w:rFonts w:hint="default"/>
              </w:rPr>
            </w:pPr>
            <w:r>
              <w:rPr>
                <w:rFonts w:hint="eastAsia"/>
                <w:lang w:val="en-US" w:eastAsia="zh-CN"/>
              </w:rPr>
              <w:t>161.0654万千瓦时</w:t>
            </w:r>
          </w:p>
        </w:tc>
        <w:tc>
          <w:tcPr>
            <w:tcW w:w="1075" w:type="pct"/>
            <w:tcBorders>
              <w:top w:val="single" w:color="000000" w:sz="4" w:space="0"/>
              <w:left w:val="single" w:color="000000" w:sz="4" w:space="0"/>
              <w:bottom w:val="single" w:color="000000" w:sz="4" w:space="0"/>
              <w:right w:val="single" w:color="000000" w:sz="4" w:space="0"/>
            </w:tcBorders>
            <w:vAlign w:val="center"/>
          </w:tcPr>
          <w:p w14:paraId="314A975B">
            <w:pPr>
              <w:pStyle w:val="45"/>
              <w:bidi w:val="0"/>
              <w:rPr>
                <w:rFonts w:hint="default"/>
              </w:rPr>
            </w:pPr>
            <w:r>
              <w:rPr>
                <w:rFonts w:hint="default"/>
              </w:rPr>
              <w:t>园区110KV变电站</w:t>
            </w:r>
          </w:p>
        </w:tc>
        <w:tc>
          <w:tcPr>
            <w:tcW w:w="544" w:type="pct"/>
            <w:tcBorders>
              <w:top w:val="single" w:color="000000" w:sz="4" w:space="0"/>
              <w:left w:val="single" w:color="000000" w:sz="4" w:space="0"/>
              <w:bottom w:val="single" w:color="000000" w:sz="4" w:space="0"/>
              <w:right w:val="single" w:color="000000" w:sz="4" w:space="0"/>
            </w:tcBorders>
            <w:vAlign w:val="center"/>
          </w:tcPr>
          <w:p w14:paraId="2C9BD88C">
            <w:pPr>
              <w:pStyle w:val="45"/>
              <w:bidi w:val="0"/>
              <w:rPr>
                <w:rFonts w:hint="default"/>
              </w:rPr>
            </w:pPr>
            <w:r>
              <w:rPr>
                <w:rFonts w:hint="default"/>
              </w:rPr>
              <w:t>电缆</w:t>
            </w:r>
          </w:p>
        </w:tc>
      </w:tr>
      <w:tr w14:paraId="6142BEE9">
        <w:tblPrEx>
          <w:tblCellMar>
            <w:top w:w="0" w:type="dxa"/>
            <w:left w:w="0" w:type="dxa"/>
            <w:bottom w:w="0" w:type="dxa"/>
            <w:right w:w="0" w:type="dxa"/>
          </w:tblCellMar>
        </w:tblPrEx>
        <w:trPr>
          <w:trHeight w:val="340"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14:paraId="0E172AB8">
            <w:pPr>
              <w:pStyle w:val="45"/>
              <w:bidi w:val="0"/>
              <w:rPr>
                <w:rFonts w:hint="default"/>
              </w:rPr>
            </w:pPr>
            <w:r>
              <w:rPr>
                <w:rFonts w:hint="default"/>
              </w:rPr>
              <w:t>汽</w:t>
            </w:r>
          </w:p>
        </w:tc>
        <w:tc>
          <w:tcPr>
            <w:tcW w:w="333" w:type="pct"/>
            <w:tcBorders>
              <w:top w:val="single" w:color="000000" w:sz="4" w:space="0"/>
              <w:left w:val="single" w:color="000000" w:sz="4" w:space="0"/>
              <w:bottom w:val="single" w:color="000000" w:sz="4" w:space="0"/>
              <w:right w:val="single" w:color="000000" w:sz="4" w:space="0"/>
            </w:tcBorders>
            <w:vAlign w:val="center"/>
          </w:tcPr>
          <w:p w14:paraId="15CFCEC7">
            <w:pPr>
              <w:pStyle w:val="45"/>
              <w:bidi w:val="0"/>
              <w:rPr>
                <w:rFonts w:hint="eastAsia"/>
                <w:lang w:eastAsia="zh-CN"/>
              </w:rPr>
            </w:pPr>
            <w:r>
              <w:rPr>
                <w:rFonts w:hint="eastAsia"/>
                <w:lang w:val="en-US" w:eastAsia="zh-CN"/>
              </w:rPr>
              <w:t>7</w:t>
            </w:r>
          </w:p>
        </w:tc>
        <w:tc>
          <w:tcPr>
            <w:tcW w:w="879" w:type="pct"/>
            <w:tcBorders>
              <w:top w:val="single" w:color="000000" w:sz="4" w:space="0"/>
              <w:left w:val="single" w:color="000000" w:sz="4" w:space="0"/>
              <w:bottom w:val="single" w:color="000000" w:sz="4" w:space="0"/>
              <w:right w:val="single" w:color="000000" w:sz="4" w:space="0"/>
            </w:tcBorders>
            <w:vAlign w:val="center"/>
          </w:tcPr>
          <w:p w14:paraId="5359BC06">
            <w:pPr>
              <w:pStyle w:val="45"/>
              <w:bidi w:val="0"/>
              <w:rPr>
                <w:rFonts w:hint="default"/>
              </w:rPr>
            </w:pPr>
            <w:r>
              <w:rPr>
                <w:rFonts w:hint="default"/>
              </w:rPr>
              <w:t>蒸汽</w:t>
            </w:r>
          </w:p>
        </w:tc>
        <w:tc>
          <w:tcPr>
            <w:tcW w:w="814" w:type="pct"/>
            <w:tcBorders>
              <w:top w:val="single" w:color="000000" w:sz="4" w:space="0"/>
              <w:left w:val="single" w:color="000000" w:sz="4" w:space="0"/>
              <w:bottom w:val="single" w:color="000000" w:sz="4" w:space="0"/>
              <w:right w:val="single" w:color="000000" w:sz="4" w:space="0"/>
            </w:tcBorders>
            <w:vAlign w:val="center"/>
          </w:tcPr>
          <w:p w14:paraId="65131DD8">
            <w:pPr>
              <w:pStyle w:val="45"/>
              <w:bidi w:val="0"/>
              <w:rPr>
                <w:rFonts w:hint="default"/>
              </w:rPr>
            </w:pPr>
            <w:r>
              <w:rPr>
                <w:rFonts w:hint="default"/>
              </w:rPr>
              <w:t>0.9MPa</w:t>
            </w:r>
          </w:p>
        </w:tc>
        <w:tc>
          <w:tcPr>
            <w:tcW w:w="941" w:type="pct"/>
            <w:tcBorders>
              <w:top w:val="single" w:color="000000" w:sz="4" w:space="0"/>
              <w:left w:val="single" w:color="000000" w:sz="4" w:space="0"/>
              <w:bottom w:val="single" w:color="000000" w:sz="4" w:space="0"/>
              <w:right w:val="single" w:color="000000" w:sz="4" w:space="0"/>
            </w:tcBorders>
            <w:vAlign w:val="center"/>
          </w:tcPr>
          <w:p w14:paraId="053608CE">
            <w:pPr>
              <w:pStyle w:val="45"/>
              <w:bidi w:val="0"/>
              <w:rPr>
                <w:rFonts w:hint="default"/>
              </w:rPr>
            </w:pPr>
            <w:r>
              <w:rPr>
                <w:rFonts w:hint="eastAsia"/>
                <w:lang w:val="en-US" w:eastAsia="zh-CN"/>
              </w:rPr>
              <w:t>5115吨</w:t>
            </w:r>
          </w:p>
        </w:tc>
        <w:tc>
          <w:tcPr>
            <w:tcW w:w="1075" w:type="pct"/>
            <w:tcBorders>
              <w:top w:val="single" w:color="000000" w:sz="4" w:space="0"/>
              <w:left w:val="single" w:color="000000" w:sz="4" w:space="0"/>
              <w:bottom w:val="single" w:color="000000" w:sz="4" w:space="0"/>
              <w:right w:val="single" w:color="000000" w:sz="4" w:space="0"/>
            </w:tcBorders>
            <w:vAlign w:val="center"/>
          </w:tcPr>
          <w:p w14:paraId="0C5E73A5">
            <w:pPr>
              <w:pStyle w:val="45"/>
              <w:bidi w:val="0"/>
              <w:rPr>
                <w:rFonts w:hint="default"/>
              </w:rPr>
            </w:pPr>
            <w:r>
              <w:rPr>
                <w:rFonts w:hint="default"/>
              </w:rPr>
              <w:t>欣福化工厂</w:t>
            </w:r>
          </w:p>
        </w:tc>
        <w:tc>
          <w:tcPr>
            <w:tcW w:w="544" w:type="pct"/>
            <w:tcBorders>
              <w:top w:val="single" w:color="000000" w:sz="4" w:space="0"/>
              <w:left w:val="single" w:color="000000" w:sz="4" w:space="0"/>
              <w:bottom w:val="single" w:color="000000" w:sz="4" w:space="0"/>
              <w:right w:val="single" w:color="000000" w:sz="4" w:space="0"/>
            </w:tcBorders>
            <w:vAlign w:val="center"/>
          </w:tcPr>
          <w:p w14:paraId="507B9236">
            <w:pPr>
              <w:pStyle w:val="45"/>
              <w:bidi w:val="0"/>
              <w:rPr>
                <w:rFonts w:hint="default"/>
              </w:rPr>
            </w:pPr>
            <w:r>
              <w:rPr>
                <w:rFonts w:hint="default"/>
              </w:rPr>
              <w:t>供热管网</w:t>
            </w:r>
          </w:p>
        </w:tc>
      </w:tr>
    </w:tbl>
    <w:p w14:paraId="58C6C8AA">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工艺流程</w:t>
      </w:r>
    </w:p>
    <w:p w14:paraId="64ECA8D6">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1-氟-1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1-二氯乙烷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HCFC-141b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是利用</w:t>
      </w:r>
      <w:r>
        <w:rPr>
          <w:rFonts w:hint="default" w:ascii="Times New Roman" w:hAnsi="Times New Roman" w:cs="Times New Roman"/>
          <w:color w:val="auto"/>
          <w:highlight w:val="none"/>
          <w:lang w:eastAsia="zh-CN"/>
        </w:rPr>
        <w:t>偏二氯乙烯</w:t>
      </w:r>
      <w:r>
        <w:rPr>
          <w:rFonts w:hint="default" w:ascii="Times New Roman" w:hAnsi="Times New Roman" w:cs="Times New Roman"/>
          <w:color w:val="auto"/>
          <w:highlight w:val="none"/>
        </w:rPr>
        <w:t>和氟化氢反应而成</w:t>
      </w:r>
      <w:r>
        <w:rPr>
          <w:rFonts w:hint="default" w:ascii="Times New Roman" w:hAnsi="Times New Roman" w:cs="Times New Roman"/>
          <w:color w:val="auto"/>
          <w:highlight w:val="none"/>
          <w:lang w:eastAsia="zh-CN"/>
        </w:rPr>
        <w:t>。</w:t>
      </w:r>
    </w:p>
    <w:p w14:paraId="33BFB499">
      <w:pPr>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drawing>
          <wp:inline distT="0" distB="0" distL="114300" distR="114300">
            <wp:extent cx="2809875" cy="451485"/>
            <wp:effectExtent l="0" t="0" r="9525"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1"/>
                    <a:stretch>
                      <a:fillRect/>
                    </a:stretch>
                  </pic:blipFill>
                  <pic:spPr>
                    <a:xfrm>
                      <a:off x="0" y="0"/>
                      <a:ext cx="2809875" cy="451485"/>
                    </a:xfrm>
                    <a:prstGeom prst="rect">
                      <a:avLst/>
                    </a:prstGeom>
                    <a:noFill/>
                    <a:ln>
                      <a:noFill/>
                    </a:ln>
                  </pic:spPr>
                </pic:pic>
              </a:graphicData>
            </a:graphic>
          </wp:inline>
        </w:drawing>
      </w:r>
    </w:p>
    <w:p w14:paraId="529CFE3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流程简述：</w:t>
      </w:r>
    </w:p>
    <w:p w14:paraId="12B0035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本反应是间歇反应，将原料</w:t>
      </w:r>
      <w:r>
        <w:rPr>
          <w:rFonts w:hint="default" w:ascii="Times New Roman" w:hAnsi="Times New Roman" w:cs="Times New Roman"/>
          <w:color w:val="auto"/>
          <w:highlight w:val="none"/>
          <w:lang w:eastAsia="zh-CN"/>
        </w:rPr>
        <w:t>偏二氯乙烯</w:t>
      </w:r>
      <w:r>
        <w:rPr>
          <w:rFonts w:hint="default" w:ascii="Times New Roman" w:hAnsi="Times New Roman" w:cs="Times New Roman"/>
          <w:color w:val="auto"/>
          <w:highlight w:val="none"/>
        </w:rPr>
        <w:t>和HF按比例连续均匀的投入备有催化剂的反应釜内，在一定的温度及压力作用下进行氟化反应，生成含有HCl、HCFC-142b、高沸物及过量HF的酸性HCFC-141b物料，取样分析合格后，首先物料经冷凝、分层，分离出过量的HF进行回用；其次，脱酸分离出含有HF、HCI的酸性HCFC-142b物料及HCFC-141b物料，酸性HCFC-142b物料经回收分层分离其中的HF回用、水洗制得副产盐酸，碱液碱洗中和其中的酸性物料后得到HCFC-142b，废碱至废碱处理；HCFC-141b物料进入中间料槽；然后在脱偏剂Br</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的脱偏釜进行脱偏处理，取样分析合格后进行碱洗中和，中性的HCFC-141b物料进入中性料槽；最后，经脱气分离出HCFC-142b，精馏分离出副产进行外售，前序的HCFC-142b经精馏制得副产HCFC-142b，成品物料HCFC-141b经取样分析合格后进入成品收集。</w:t>
      </w:r>
    </w:p>
    <w:p w14:paraId="2AB7E6D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生产工艺流程图如下。</w:t>
      </w:r>
    </w:p>
    <w:p w14:paraId="4202E16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895850" cy="3188970"/>
            <wp:effectExtent l="9525" t="9525" r="9525" b="209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2"/>
                    <a:stretch>
                      <a:fillRect/>
                    </a:stretch>
                  </pic:blipFill>
                  <pic:spPr>
                    <a:xfrm>
                      <a:off x="0" y="0"/>
                      <a:ext cx="4895850" cy="3188970"/>
                    </a:xfrm>
                    <a:prstGeom prst="rect">
                      <a:avLst/>
                    </a:prstGeom>
                    <a:noFill/>
                    <a:ln>
                      <a:solidFill>
                        <a:schemeClr val="tx1"/>
                      </a:solidFill>
                    </a:ln>
                  </pic:spPr>
                </pic:pic>
              </a:graphicData>
            </a:graphic>
          </wp:inline>
        </w:drawing>
      </w:r>
    </w:p>
    <w:p w14:paraId="28F293EE">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cs="Times New Roman"/>
          <w:color w:val="auto"/>
          <w:highlight w:val="none"/>
        </w:rPr>
      </w:pPr>
      <w:r>
        <w:drawing>
          <wp:anchor distT="0" distB="0" distL="114300" distR="114300" simplePos="0" relativeHeight="251670528" behindDoc="0" locked="0" layoutInCell="1" allowOverlap="1">
            <wp:simplePos x="0" y="0"/>
            <wp:positionH relativeFrom="column">
              <wp:posOffset>2232660</wp:posOffset>
            </wp:positionH>
            <wp:positionV relativeFrom="paragraph">
              <wp:posOffset>3759835</wp:posOffset>
            </wp:positionV>
            <wp:extent cx="2802890" cy="534035"/>
            <wp:effectExtent l="0" t="0" r="16510" b="18415"/>
            <wp:wrapNone/>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3"/>
                    <a:stretch>
                      <a:fillRect/>
                    </a:stretch>
                  </pic:blipFill>
                  <pic:spPr>
                    <a:xfrm>
                      <a:off x="0" y="0"/>
                      <a:ext cx="2802890" cy="534035"/>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4895850" cy="4387850"/>
            <wp:effectExtent l="9525" t="9525" r="9525" b="222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4"/>
                    <a:stretch>
                      <a:fillRect/>
                    </a:stretch>
                  </pic:blipFill>
                  <pic:spPr>
                    <a:xfrm>
                      <a:off x="0" y="0"/>
                      <a:ext cx="4895850" cy="4387850"/>
                    </a:xfrm>
                    <a:prstGeom prst="rect">
                      <a:avLst/>
                    </a:prstGeom>
                    <a:noFill/>
                    <a:ln>
                      <a:solidFill>
                        <a:schemeClr val="tx1"/>
                      </a:solidFill>
                    </a:ln>
                  </pic:spPr>
                </pic:pic>
              </a:graphicData>
            </a:graphic>
          </wp:inline>
        </w:drawing>
      </w:r>
    </w:p>
    <w:p w14:paraId="6BD871ED">
      <w:pPr>
        <w:pStyle w:val="4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 1.1-5 HCFC-141b生产工艺流程及产污节点图</w:t>
      </w:r>
    </w:p>
    <w:p w14:paraId="36C9BFD3">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3、产品及中间产品方案</w:t>
      </w:r>
    </w:p>
    <w:p w14:paraId="1416E1B0">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三爱富公司</w:t>
      </w:r>
      <w:r>
        <w:rPr>
          <w:rFonts w:hint="default" w:ascii="Times New Roman" w:hAnsi="Times New Roman" w:cs="Times New Roman"/>
          <w:color w:val="auto"/>
          <w:highlight w:val="none"/>
          <w:lang w:val="en-US" w:eastAsia="zh-CN"/>
        </w:rPr>
        <w:t>F141b</w:t>
      </w:r>
      <w:r>
        <w:rPr>
          <w:rFonts w:hint="default" w:ascii="Times New Roman" w:hAnsi="Times New Roman" w:cs="Times New Roman"/>
          <w:color w:val="auto"/>
          <w:highlight w:val="none"/>
        </w:rPr>
        <w:t>产品方案、中间产品、涉及的物质及其储运方案分见</w:t>
      </w:r>
      <w:r>
        <w:rPr>
          <w:rFonts w:hint="default" w:ascii="Times New Roman" w:hAnsi="Times New Roman" w:cs="Times New Roman"/>
          <w:color w:val="auto"/>
          <w:highlight w:val="none"/>
          <w:lang w:val="en-US" w:eastAsia="zh-CN"/>
        </w:rPr>
        <w:t>下</w:t>
      </w: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eastAsia="zh-CN"/>
        </w:rPr>
        <w:t>。</w:t>
      </w:r>
    </w:p>
    <w:p w14:paraId="747E5674">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1.1-</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产品方案、中间产品及贮存方案</w:t>
      </w:r>
    </w:p>
    <w:tbl>
      <w:tblPr>
        <w:tblStyle w:val="29"/>
        <w:tblW w:w="8841" w:type="dxa"/>
        <w:jc w:val="center"/>
        <w:tblLayout w:type="fixed"/>
        <w:tblCellMar>
          <w:top w:w="0" w:type="dxa"/>
          <w:left w:w="0" w:type="dxa"/>
          <w:bottom w:w="0" w:type="dxa"/>
          <w:right w:w="0" w:type="dxa"/>
        </w:tblCellMar>
      </w:tblPr>
      <w:tblGrid>
        <w:gridCol w:w="1555"/>
        <w:gridCol w:w="691"/>
        <w:gridCol w:w="2030"/>
        <w:gridCol w:w="840"/>
        <w:gridCol w:w="1253"/>
        <w:gridCol w:w="1267"/>
        <w:gridCol w:w="1205"/>
      </w:tblGrid>
      <w:tr w14:paraId="1B62334D">
        <w:tblPrEx>
          <w:tblCellMar>
            <w:top w:w="0" w:type="dxa"/>
            <w:left w:w="0" w:type="dxa"/>
            <w:bottom w:w="0" w:type="dxa"/>
            <w:right w:w="0" w:type="dxa"/>
          </w:tblCellMar>
        </w:tblPrEx>
        <w:trPr>
          <w:trHeight w:val="340" w:hRule="atLeast"/>
          <w:jc w:val="center"/>
        </w:trPr>
        <w:tc>
          <w:tcPr>
            <w:tcW w:w="1555" w:type="dxa"/>
            <w:vMerge w:val="restart"/>
            <w:tcBorders>
              <w:top w:val="single" w:color="000000" w:sz="4" w:space="0"/>
              <w:left w:val="single" w:color="000000" w:sz="4" w:space="0"/>
              <w:right w:val="single" w:color="000000" w:sz="4" w:space="0"/>
            </w:tcBorders>
            <w:vAlign w:val="center"/>
          </w:tcPr>
          <w:p w14:paraId="575D8174">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产品</w:t>
            </w:r>
          </w:p>
        </w:tc>
        <w:tc>
          <w:tcPr>
            <w:tcW w:w="2721" w:type="dxa"/>
            <w:gridSpan w:val="2"/>
            <w:tcBorders>
              <w:top w:val="single" w:color="000000" w:sz="4" w:space="0"/>
              <w:left w:val="single" w:color="000000" w:sz="4" w:space="0"/>
              <w:bottom w:val="single" w:color="000000" w:sz="4" w:space="0"/>
              <w:right w:val="single" w:color="000000" w:sz="4" w:space="0"/>
            </w:tcBorders>
            <w:vAlign w:val="center"/>
          </w:tcPr>
          <w:p w14:paraId="73D11355">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840" w:type="dxa"/>
            <w:tcBorders>
              <w:top w:val="single" w:color="000000" w:sz="4" w:space="0"/>
              <w:left w:val="single" w:color="000000" w:sz="4" w:space="0"/>
              <w:bottom w:val="single" w:color="000000" w:sz="4" w:space="0"/>
              <w:right w:val="single" w:color="000000" w:sz="4" w:space="0"/>
            </w:tcBorders>
            <w:vAlign w:val="center"/>
          </w:tcPr>
          <w:p w14:paraId="01C1C41E">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规格</w:t>
            </w:r>
          </w:p>
        </w:tc>
        <w:tc>
          <w:tcPr>
            <w:tcW w:w="1253" w:type="dxa"/>
            <w:tcBorders>
              <w:top w:val="single" w:color="000000" w:sz="4" w:space="0"/>
              <w:left w:val="single" w:color="000000" w:sz="4" w:space="0"/>
              <w:bottom w:val="single" w:color="000000" w:sz="4" w:space="0"/>
              <w:right w:val="single" w:color="000000" w:sz="4" w:space="0"/>
            </w:tcBorders>
            <w:vAlign w:val="center"/>
          </w:tcPr>
          <w:p w14:paraId="4E3860D1">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产量（t/a）</w:t>
            </w:r>
          </w:p>
        </w:tc>
        <w:tc>
          <w:tcPr>
            <w:tcW w:w="1267" w:type="dxa"/>
            <w:tcBorders>
              <w:top w:val="single" w:color="000000" w:sz="4" w:space="0"/>
              <w:left w:val="single" w:color="000000" w:sz="4" w:space="0"/>
              <w:bottom w:val="single" w:color="000000" w:sz="4" w:space="0"/>
              <w:right w:val="single" w:color="000000" w:sz="4" w:space="0"/>
            </w:tcBorders>
            <w:vAlign w:val="center"/>
          </w:tcPr>
          <w:p w14:paraId="15D58EFB">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最大储量（t）</w:t>
            </w:r>
          </w:p>
        </w:tc>
        <w:tc>
          <w:tcPr>
            <w:tcW w:w="1205" w:type="dxa"/>
            <w:tcBorders>
              <w:top w:val="single" w:color="000000" w:sz="4" w:space="0"/>
              <w:left w:val="single" w:color="000000" w:sz="4" w:space="0"/>
              <w:bottom w:val="single" w:color="000000" w:sz="4" w:space="0"/>
              <w:right w:val="single" w:color="000000" w:sz="4" w:space="0"/>
            </w:tcBorders>
            <w:vAlign w:val="center"/>
          </w:tcPr>
          <w:p w14:paraId="0A211839">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贮存方案</w:t>
            </w:r>
          </w:p>
        </w:tc>
      </w:tr>
      <w:tr w14:paraId="3E4BF01A">
        <w:tblPrEx>
          <w:tblCellMar>
            <w:top w:w="0" w:type="dxa"/>
            <w:left w:w="0" w:type="dxa"/>
            <w:bottom w:w="0" w:type="dxa"/>
            <w:right w:w="0" w:type="dxa"/>
          </w:tblCellMar>
        </w:tblPrEx>
        <w:trPr>
          <w:trHeight w:val="340" w:hRule="atLeast"/>
          <w:jc w:val="center"/>
        </w:trPr>
        <w:tc>
          <w:tcPr>
            <w:tcW w:w="1555" w:type="dxa"/>
            <w:vMerge w:val="continue"/>
            <w:tcBorders>
              <w:left w:val="single" w:color="000000" w:sz="4" w:space="0"/>
              <w:bottom w:val="single" w:color="000000" w:sz="4" w:space="0"/>
              <w:right w:val="single" w:color="000000" w:sz="4" w:space="0"/>
            </w:tcBorders>
            <w:vAlign w:val="center"/>
          </w:tcPr>
          <w:p w14:paraId="02D442CD">
            <w:pPr>
              <w:pStyle w:val="45"/>
              <w:bidi w:val="0"/>
              <w:jc w:val="center"/>
              <w:rPr>
                <w:rFonts w:hint="default" w:ascii="Times New Roman" w:hAnsi="Times New Roman" w:cs="Times New Roman"/>
                <w:color w:val="auto"/>
                <w:highlight w:val="none"/>
              </w:rPr>
            </w:pPr>
          </w:p>
        </w:tc>
        <w:tc>
          <w:tcPr>
            <w:tcW w:w="2721" w:type="dxa"/>
            <w:gridSpan w:val="2"/>
            <w:tcBorders>
              <w:top w:val="single" w:color="000000" w:sz="4" w:space="0"/>
              <w:left w:val="single" w:color="000000" w:sz="4" w:space="0"/>
              <w:bottom w:val="single" w:color="000000" w:sz="4" w:space="0"/>
              <w:right w:val="single" w:color="000000" w:sz="4" w:space="0"/>
            </w:tcBorders>
            <w:vAlign w:val="center"/>
          </w:tcPr>
          <w:p w14:paraId="11C18F7D">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1-二氯-1-氟乙烷（F141b）</w:t>
            </w:r>
          </w:p>
        </w:tc>
        <w:tc>
          <w:tcPr>
            <w:tcW w:w="840" w:type="dxa"/>
            <w:tcBorders>
              <w:top w:val="single" w:color="000000" w:sz="4" w:space="0"/>
              <w:left w:val="single" w:color="000000" w:sz="4" w:space="0"/>
              <w:bottom w:val="single" w:color="000000" w:sz="4" w:space="0"/>
              <w:right w:val="single" w:color="000000" w:sz="4" w:space="0"/>
            </w:tcBorders>
            <w:vAlign w:val="center"/>
          </w:tcPr>
          <w:p w14:paraId="79541A71">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99.8%</w:t>
            </w:r>
          </w:p>
        </w:tc>
        <w:tc>
          <w:tcPr>
            <w:tcW w:w="1253" w:type="dxa"/>
            <w:tcBorders>
              <w:top w:val="single" w:color="000000" w:sz="4" w:space="0"/>
              <w:left w:val="single" w:color="000000" w:sz="4" w:space="0"/>
              <w:bottom w:val="single" w:color="000000" w:sz="4" w:space="0"/>
              <w:right w:val="single" w:color="000000" w:sz="4" w:space="0"/>
            </w:tcBorders>
            <w:vAlign w:val="center"/>
          </w:tcPr>
          <w:p w14:paraId="06B81374">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30000</w:t>
            </w:r>
          </w:p>
        </w:tc>
        <w:tc>
          <w:tcPr>
            <w:tcW w:w="1267" w:type="dxa"/>
            <w:tcBorders>
              <w:top w:val="single" w:color="000000" w:sz="4" w:space="0"/>
              <w:left w:val="single" w:color="000000" w:sz="4" w:space="0"/>
              <w:bottom w:val="single" w:color="000000" w:sz="4" w:space="0"/>
              <w:right w:val="single" w:color="000000" w:sz="4" w:space="0"/>
            </w:tcBorders>
            <w:vAlign w:val="center"/>
          </w:tcPr>
          <w:p w14:paraId="302A2DC6">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c>
          <w:tcPr>
            <w:tcW w:w="1205" w:type="dxa"/>
            <w:tcBorders>
              <w:top w:val="single" w:color="000000" w:sz="4" w:space="0"/>
              <w:left w:val="single" w:color="000000" w:sz="4" w:space="0"/>
              <w:bottom w:val="single" w:color="000000" w:sz="4" w:space="0"/>
              <w:right w:val="single" w:color="000000" w:sz="4" w:space="0"/>
            </w:tcBorders>
            <w:vAlign w:val="center"/>
          </w:tcPr>
          <w:p w14:paraId="1864161C">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铁桶</w:t>
            </w:r>
          </w:p>
        </w:tc>
      </w:tr>
      <w:tr w14:paraId="0C10E318">
        <w:tblPrEx>
          <w:tblCellMar>
            <w:top w:w="0" w:type="dxa"/>
            <w:left w:w="0" w:type="dxa"/>
            <w:bottom w:w="0" w:type="dxa"/>
            <w:right w:w="0" w:type="dxa"/>
          </w:tblCellMar>
        </w:tblPrEx>
        <w:trPr>
          <w:trHeight w:val="340" w:hRule="atLeast"/>
          <w:jc w:val="center"/>
        </w:trPr>
        <w:tc>
          <w:tcPr>
            <w:tcW w:w="1555" w:type="dxa"/>
            <w:vMerge w:val="restart"/>
            <w:tcBorders>
              <w:top w:val="single" w:color="000000" w:sz="4" w:space="0"/>
              <w:left w:val="single" w:color="000000" w:sz="4" w:space="0"/>
              <w:right w:val="single" w:color="000000" w:sz="4" w:space="0"/>
            </w:tcBorders>
            <w:vAlign w:val="center"/>
          </w:tcPr>
          <w:p w14:paraId="1452A9A9">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中间产品或副产 品</w:t>
            </w:r>
          </w:p>
        </w:tc>
        <w:tc>
          <w:tcPr>
            <w:tcW w:w="691" w:type="dxa"/>
            <w:tcBorders>
              <w:top w:val="single" w:color="000000" w:sz="4" w:space="0"/>
              <w:left w:val="single" w:color="000000" w:sz="4" w:space="0"/>
              <w:bottom w:val="single" w:color="000000" w:sz="4" w:space="0"/>
              <w:right w:val="single" w:color="000000" w:sz="4" w:space="0"/>
            </w:tcBorders>
            <w:vAlign w:val="center"/>
          </w:tcPr>
          <w:p w14:paraId="5F092F7B">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装置</w:t>
            </w:r>
          </w:p>
        </w:tc>
        <w:tc>
          <w:tcPr>
            <w:tcW w:w="2030" w:type="dxa"/>
            <w:tcBorders>
              <w:top w:val="single" w:color="000000" w:sz="4" w:space="0"/>
              <w:left w:val="single" w:color="000000" w:sz="4" w:space="0"/>
              <w:bottom w:val="single" w:color="000000" w:sz="4" w:space="0"/>
              <w:right w:val="single" w:color="000000" w:sz="4" w:space="0"/>
            </w:tcBorders>
            <w:vAlign w:val="center"/>
          </w:tcPr>
          <w:p w14:paraId="424A9086">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840" w:type="dxa"/>
            <w:tcBorders>
              <w:top w:val="single" w:color="000000" w:sz="4" w:space="0"/>
              <w:left w:val="single" w:color="000000" w:sz="4" w:space="0"/>
              <w:bottom w:val="single" w:color="000000" w:sz="4" w:space="0"/>
              <w:right w:val="single" w:color="000000" w:sz="4" w:space="0"/>
            </w:tcBorders>
            <w:vAlign w:val="center"/>
          </w:tcPr>
          <w:p w14:paraId="02CDA2C1">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规格</w:t>
            </w:r>
          </w:p>
        </w:tc>
        <w:tc>
          <w:tcPr>
            <w:tcW w:w="1253" w:type="dxa"/>
            <w:tcBorders>
              <w:top w:val="single" w:color="000000" w:sz="4" w:space="0"/>
              <w:left w:val="single" w:color="000000" w:sz="4" w:space="0"/>
              <w:bottom w:val="single" w:color="000000" w:sz="4" w:space="0"/>
              <w:right w:val="single" w:color="000000" w:sz="4" w:space="0"/>
            </w:tcBorders>
            <w:vAlign w:val="center"/>
          </w:tcPr>
          <w:p w14:paraId="6D9CD36F">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产生量（t/a）</w:t>
            </w:r>
          </w:p>
        </w:tc>
        <w:tc>
          <w:tcPr>
            <w:tcW w:w="1267" w:type="dxa"/>
            <w:tcBorders>
              <w:top w:val="single" w:color="000000" w:sz="4" w:space="0"/>
              <w:left w:val="single" w:color="000000" w:sz="4" w:space="0"/>
              <w:bottom w:val="single" w:color="000000" w:sz="4" w:space="0"/>
              <w:right w:val="single" w:color="000000" w:sz="4" w:space="0"/>
            </w:tcBorders>
            <w:vAlign w:val="center"/>
          </w:tcPr>
          <w:p w14:paraId="40E839F5">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最大储量（t）</w:t>
            </w:r>
          </w:p>
        </w:tc>
        <w:tc>
          <w:tcPr>
            <w:tcW w:w="1205" w:type="dxa"/>
            <w:tcBorders>
              <w:top w:val="single" w:color="000000" w:sz="4" w:space="0"/>
              <w:left w:val="single" w:color="000000" w:sz="4" w:space="0"/>
              <w:bottom w:val="single" w:color="000000" w:sz="4" w:space="0"/>
              <w:right w:val="single" w:color="000000" w:sz="4" w:space="0"/>
            </w:tcBorders>
            <w:vAlign w:val="center"/>
          </w:tcPr>
          <w:p w14:paraId="7E215369">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贮存方案</w:t>
            </w:r>
          </w:p>
        </w:tc>
      </w:tr>
      <w:tr w14:paraId="7823DF99">
        <w:tblPrEx>
          <w:tblCellMar>
            <w:top w:w="0" w:type="dxa"/>
            <w:left w:w="0" w:type="dxa"/>
            <w:bottom w:w="0" w:type="dxa"/>
            <w:right w:w="0" w:type="dxa"/>
          </w:tblCellMar>
        </w:tblPrEx>
        <w:trPr>
          <w:trHeight w:val="340" w:hRule="atLeast"/>
          <w:jc w:val="center"/>
        </w:trPr>
        <w:tc>
          <w:tcPr>
            <w:tcW w:w="1555" w:type="dxa"/>
            <w:vMerge w:val="continue"/>
            <w:tcBorders>
              <w:left w:val="single" w:color="000000" w:sz="4" w:space="0"/>
              <w:right w:val="single" w:color="000000" w:sz="4" w:space="0"/>
            </w:tcBorders>
            <w:vAlign w:val="center"/>
          </w:tcPr>
          <w:p w14:paraId="46934409">
            <w:pPr>
              <w:pStyle w:val="45"/>
              <w:bidi w:val="0"/>
              <w:jc w:val="center"/>
              <w:rPr>
                <w:rFonts w:hint="default" w:ascii="Times New Roman" w:hAnsi="Times New Roman" w:cs="Times New Roman"/>
                <w:color w:val="auto"/>
                <w:highlight w:val="none"/>
              </w:rPr>
            </w:pPr>
          </w:p>
        </w:tc>
        <w:tc>
          <w:tcPr>
            <w:tcW w:w="691" w:type="dxa"/>
            <w:vMerge w:val="restart"/>
            <w:tcBorders>
              <w:top w:val="single" w:color="000000" w:sz="4" w:space="0"/>
              <w:left w:val="single" w:color="000000" w:sz="4" w:space="0"/>
              <w:right w:val="single" w:color="000000" w:sz="4" w:space="0"/>
            </w:tcBorders>
            <w:vAlign w:val="center"/>
          </w:tcPr>
          <w:p w14:paraId="0BE3A175">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F141b</w:t>
            </w:r>
          </w:p>
        </w:tc>
        <w:tc>
          <w:tcPr>
            <w:tcW w:w="2030" w:type="dxa"/>
            <w:tcBorders>
              <w:top w:val="single" w:color="000000" w:sz="4" w:space="0"/>
              <w:left w:val="single" w:color="000000" w:sz="4" w:space="0"/>
              <w:bottom w:val="single" w:color="000000" w:sz="4" w:space="0"/>
              <w:right w:val="single" w:color="000000" w:sz="4" w:space="0"/>
            </w:tcBorders>
            <w:vAlign w:val="center"/>
          </w:tcPr>
          <w:p w14:paraId="3945853D">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废酸</w:t>
            </w:r>
          </w:p>
        </w:tc>
        <w:tc>
          <w:tcPr>
            <w:tcW w:w="840" w:type="dxa"/>
            <w:tcBorders>
              <w:top w:val="single" w:color="000000" w:sz="4" w:space="0"/>
              <w:left w:val="single" w:color="000000" w:sz="4" w:space="0"/>
              <w:bottom w:val="single" w:color="000000" w:sz="4" w:space="0"/>
              <w:right w:val="single" w:color="000000" w:sz="4" w:space="0"/>
            </w:tcBorders>
            <w:vAlign w:val="center"/>
          </w:tcPr>
          <w:p w14:paraId="08AA6ACE">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73%</w:t>
            </w:r>
          </w:p>
        </w:tc>
        <w:tc>
          <w:tcPr>
            <w:tcW w:w="1253" w:type="dxa"/>
            <w:tcBorders>
              <w:top w:val="single" w:color="000000" w:sz="4" w:space="0"/>
              <w:left w:val="single" w:color="000000" w:sz="4" w:space="0"/>
              <w:bottom w:val="single" w:color="000000" w:sz="4" w:space="0"/>
              <w:right w:val="single" w:color="000000" w:sz="4" w:space="0"/>
            </w:tcBorders>
            <w:vAlign w:val="center"/>
          </w:tcPr>
          <w:p w14:paraId="2D9577CC">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582.44</w:t>
            </w:r>
          </w:p>
        </w:tc>
        <w:tc>
          <w:tcPr>
            <w:tcW w:w="1267" w:type="dxa"/>
            <w:tcBorders>
              <w:top w:val="single" w:color="000000" w:sz="4" w:space="0"/>
              <w:left w:val="single" w:color="000000" w:sz="4" w:space="0"/>
              <w:bottom w:val="single" w:color="000000" w:sz="4" w:space="0"/>
              <w:right w:val="single" w:color="000000" w:sz="4" w:space="0"/>
            </w:tcBorders>
            <w:vAlign w:val="center"/>
          </w:tcPr>
          <w:p w14:paraId="1378F549">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1205" w:type="dxa"/>
            <w:tcBorders>
              <w:top w:val="single" w:color="000000" w:sz="4" w:space="0"/>
              <w:left w:val="single" w:color="000000" w:sz="4" w:space="0"/>
              <w:bottom w:val="single" w:color="000000" w:sz="4" w:space="0"/>
              <w:right w:val="single" w:color="000000" w:sz="4" w:space="0"/>
            </w:tcBorders>
            <w:vAlign w:val="center"/>
          </w:tcPr>
          <w:p w14:paraId="16BDE0C2">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贮槽</w:t>
            </w:r>
          </w:p>
        </w:tc>
      </w:tr>
      <w:tr w14:paraId="5AE92F95">
        <w:tblPrEx>
          <w:tblCellMar>
            <w:top w:w="0" w:type="dxa"/>
            <w:left w:w="0" w:type="dxa"/>
            <w:bottom w:w="0" w:type="dxa"/>
            <w:right w:w="0" w:type="dxa"/>
          </w:tblCellMar>
        </w:tblPrEx>
        <w:trPr>
          <w:trHeight w:val="340" w:hRule="atLeast"/>
          <w:jc w:val="center"/>
        </w:trPr>
        <w:tc>
          <w:tcPr>
            <w:tcW w:w="1555" w:type="dxa"/>
            <w:vMerge w:val="continue"/>
            <w:tcBorders>
              <w:left w:val="single" w:color="000000" w:sz="4" w:space="0"/>
              <w:right w:val="single" w:color="000000" w:sz="4" w:space="0"/>
            </w:tcBorders>
            <w:vAlign w:val="center"/>
          </w:tcPr>
          <w:p w14:paraId="0A71B68F">
            <w:pPr>
              <w:pStyle w:val="45"/>
              <w:bidi w:val="0"/>
              <w:jc w:val="center"/>
              <w:rPr>
                <w:rFonts w:hint="default" w:ascii="Times New Roman" w:hAnsi="Times New Roman" w:cs="Times New Roman"/>
                <w:color w:val="auto"/>
                <w:highlight w:val="none"/>
              </w:rPr>
            </w:pPr>
          </w:p>
        </w:tc>
        <w:tc>
          <w:tcPr>
            <w:tcW w:w="691" w:type="dxa"/>
            <w:vMerge w:val="continue"/>
            <w:tcBorders>
              <w:left w:val="single" w:color="000000" w:sz="4" w:space="0"/>
              <w:right w:val="single" w:color="000000" w:sz="4" w:space="0"/>
            </w:tcBorders>
            <w:vAlign w:val="center"/>
          </w:tcPr>
          <w:p w14:paraId="4AEE6DCD">
            <w:pPr>
              <w:pStyle w:val="45"/>
              <w:bidi w:val="0"/>
              <w:jc w:val="center"/>
              <w:rPr>
                <w:rFonts w:hint="default" w:ascii="Times New Roman" w:hAnsi="Times New Roman" w:cs="Times New Roman"/>
                <w:color w:val="auto"/>
                <w:highlight w:val="none"/>
              </w:rPr>
            </w:pPr>
          </w:p>
        </w:tc>
        <w:tc>
          <w:tcPr>
            <w:tcW w:w="2030" w:type="dxa"/>
            <w:tcBorders>
              <w:top w:val="single" w:color="000000" w:sz="4" w:space="0"/>
              <w:left w:val="single" w:color="000000" w:sz="4" w:space="0"/>
              <w:bottom w:val="single" w:color="000000" w:sz="4" w:space="0"/>
              <w:right w:val="single" w:color="000000" w:sz="4" w:space="0"/>
            </w:tcBorders>
            <w:vAlign w:val="center"/>
          </w:tcPr>
          <w:p w14:paraId="06C9B753">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F142b</w:t>
            </w:r>
          </w:p>
        </w:tc>
        <w:tc>
          <w:tcPr>
            <w:tcW w:w="840" w:type="dxa"/>
            <w:tcBorders>
              <w:top w:val="single" w:color="000000" w:sz="4" w:space="0"/>
              <w:left w:val="single" w:color="000000" w:sz="4" w:space="0"/>
              <w:bottom w:val="single" w:color="000000" w:sz="4" w:space="0"/>
              <w:right w:val="single" w:color="000000" w:sz="4" w:space="0"/>
            </w:tcBorders>
            <w:vAlign w:val="center"/>
          </w:tcPr>
          <w:p w14:paraId="621843DA">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99.4%</w:t>
            </w:r>
          </w:p>
        </w:tc>
        <w:tc>
          <w:tcPr>
            <w:tcW w:w="1253" w:type="dxa"/>
            <w:tcBorders>
              <w:top w:val="single" w:color="000000" w:sz="4" w:space="0"/>
              <w:left w:val="single" w:color="000000" w:sz="4" w:space="0"/>
              <w:bottom w:val="single" w:color="000000" w:sz="4" w:space="0"/>
              <w:right w:val="single" w:color="000000" w:sz="4" w:space="0"/>
            </w:tcBorders>
            <w:vAlign w:val="center"/>
          </w:tcPr>
          <w:p w14:paraId="7C664A6E">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1086.82</w:t>
            </w:r>
          </w:p>
        </w:tc>
        <w:tc>
          <w:tcPr>
            <w:tcW w:w="1267" w:type="dxa"/>
            <w:tcBorders>
              <w:top w:val="single" w:color="000000" w:sz="4" w:space="0"/>
              <w:left w:val="single" w:color="000000" w:sz="4" w:space="0"/>
              <w:bottom w:val="single" w:color="000000" w:sz="4" w:space="0"/>
              <w:right w:val="single" w:color="000000" w:sz="4" w:space="0"/>
            </w:tcBorders>
            <w:vAlign w:val="center"/>
          </w:tcPr>
          <w:p w14:paraId="04182D85">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205" w:type="dxa"/>
            <w:tcBorders>
              <w:top w:val="single" w:color="000000" w:sz="4" w:space="0"/>
              <w:left w:val="single" w:color="000000" w:sz="4" w:space="0"/>
              <w:bottom w:val="single" w:color="000000" w:sz="4" w:space="0"/>
              <w:right w:val="single" w:color="000000" w:sz="4" w:space="0"/>
            </w:tcBorders>
            <w:vAlign w:val="center"/>
          </w:tcPr>
          <w:p w14:paraId="7F66D25B">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钢瓶</w:t>
            </w:r>
          </w:p>
        </w:tc>
      </w:tr>
      <w:tr w14:paraId="4334AB61">
        <w:tblPrEx>
          <w:tblCellMar>
            <w:top w:w="0" w:type="dxa"/>
            <w:left w:w="0" w:type="dxa"/>
            <w:bottom w:w="0" w:type="dxa"/>
            <w:right w:w="0" w:type="dxa"/>
          </w:tblCellMar>
        </w:tblPrEx>
        <w:trPr>
          <w:trHeight w:val="340" w:hRule="atLeast"/>
          <w:jc w:val="center"/>
        </w:trPr>
        <w:tc>
          <w:tcPr>
            <w:tcW w:w="1555" w:type="dxa"/>
            <w:vMerge w:val="continue"/>
            <w:tcBorders>
              <w:left w:val="single" w:color="000000" w:sz="4" w:space="0"/>
              <w:bottom w:val="single" w:color="000000" w:sz="4" w:space="0"/>
              <w:right w:val="single" w:color="000000" w:sz="4" w:space="0"/>
            </w:tcBorders>
            <w:vAlign w:val="center"/>
          </w:tcPr>
          <w:p w14:paraId="1B26B9FB">
            <w:pPr>
              <w:pStyle w:val="45"/>
              <w:bidi w:val="0"/>
              <w:jc w:val="center"/>
              <w:rPr>
                <w:rFonts w:hint="default" w:ascii="Times New Roman" w:hAnsi="Times New Roman" w:cs="Times New Roman"/>
                <w:color w:val="auto"/>
                <w:highlight w:val="none"/>
              </w:rPr>
            </w:pPr>
          </w:p>
        </w:tc>
        <w:tc>
          <w:tcPr>
            <w:tcW w:w="691" w:type="dxa"/>
            <w:vMerge w:val="continue"/>
            <w:tcBorders>
              <w:left w:val="single" w:color="000000" w:sz="4" w:space="0"/>
              <w:bottom w:val="single" w:color="000000" w:sz="4" w:space="0"/>
              <w:right w:val="single" w:color="000000" w:sz="4" w:space="0"/>
            </w:tcBorders>
            <w:vAlign w:val="center"/>
          </w:tcPr>
          <w:p w14:paraId="2056932B">
            <w:pPr>
              <w:pStyle w:val="45"/>
              <w:bidi w:val="0"/>
              <w:jc w:val="center"/>
              <w:rPr>
                <w:rFonts w:hint="default" w:ascii="Times New Roman" w:hAnsi="Times New Roman" w:cs="Times New Roman"/>
                <w:color w:val="auto"/>
                <w:highlight w:val="none"/>
              </w:rPr>
            </w:pPr>
          </w:p>
        </w:tc>
        <w:tc>
          <w:tcPr>
            <w:tcW w:w="2030" w:type="dxa"/>
            <w:tcBorders>
              <w:top w:val="single" w:color="000000" w:sz="4" w:space="0"/>
              <w:left w:val="single" w:color="000000" w:sz="4" w:space="0"/>
              <w:bottom w:val="single" w:color="000000" w:sz="4" w:space="0"/>
              <w:right w:val="single" w:color="000000" w:sz="4" w:space="0"/>
            </w:tcBorders>
            <w:vAlign w:val="center"/>
          </w:tcPr>
          <w:p w14:paraId="73797AD0">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三氯乙烷</w:t>
            </w:r>
          </w:p>
        </w:tc>
        <w:tc>
          <w:tcPr>
            <w:tcW w:w="840" w:type="dxa"/>
            <w:tcBorders>
              <w:top w:val="single" w:color="000000" w:sz="4" w:space="0"/>
              <w:left w:val="single" w:color="000000" w:sz="4" w:space="0"/>
              <w:bottom w:val="single" w:color="000000" w:sz="4" w:space="0"/>
              <w:right w:val="single" w:color="000000" w:sz="4" w:space="0"/>
            </w:tcBorders>
            <w:vAlign w:val="center"/>
          </w:tcPr>
          <w:p w14:paraId="78A63C84">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28.6%</w:t>
            </w:r>
          </w:p>
        </w:tc>
        <w:tc>
          <w:tcPr>
            <w:tcW w:w="1253" w:type="dxa"/>
            <w:tcBorders>
              <w:top w:val="single" w:color="000000" w:sz="4" w:space="0"/>
              <w:left w:val="single" w:color="000000" w:sz="4" w:space="0"/>
              <w:bottom w:val="single" w:color="000000" w:sz="4" w:space="0"/>
              <w:right w:val="single" w:color="000000" w:sz="4" w:space="0"/>
            </w:tcBorders>
            <w:vAlign w:val="center"/>
          </w:tcPr>
          <w:p w14:paraId="66655ADC">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133.08</w:t>
            </w:r>
          </w:p>
        </w:tc>
        <w:tc>
          <w:tcPr>
            <w:tcW w:w="1267" w:type="dxa"/>
            <w:tcBorders>
              <w:top w:val="single" w:color="000000" w:sz="4" w:space="0"/>
              <w:left w:val="single" w:color="000000" w:sz="4" w:space="0"/>
              <w:bottom w:val="single" w:color="000000" w:sz="4" w:space="0"/>
              <w:right w:val="single" w:color="000000" w:sz="4" w:space="0"/>
            </w:tcBorders>
            <w:vAlign w:val="center"/>
          </w:tcPr>
          <w:p w14:paraId="7BDD108F">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205" w:type="dxa"/>
            <w:tcBorders>
              <w:top w:val="single" w:color="000000" w:sz="4" w:space="0"/>
              <w:left w:val="single" w:color="000000" w:sz="4" w:space="0"/>
              <w:bottom w:val="single" w:color="000000" w:sz="4" w:space="0"/>
              <w:right w:val="single" w:color="000000" w:sz="4" w:space="0"/>
            </w:tcBorders>
            <w:vAlign w:val="center"/>
          </w:tcPr>
          <w:p w14:paraId="0A3559FC">
            <w:pPr>
              <w:pStyle w:val="45"/>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贮槽</w:t>
            </w:r>
          </w:p>
        </w:tc>
      </w:tr>
    </w:tbl>
    <w:p w14:paraId="6BA5D97C">
      <w:pPr>
        <w:numPr>
          <w:ilvl w:val="0"/>
          <w:numId w:val="3"/>
        </w:numPr>
        <w:bidi w:val="0"/>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项目危废产生情况</w:t>
      </w:r>
    </w:p>
    <w:p w14:paraId="5017AF6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本项目生产过程中产生的危废有</w:t>
      </w:r>
      <w:r>
        <w:rPr>
          <w:rFonts w:hint="eastAsia"/>
          <w:color w:val="auto"/>
          <w:lang w:val="en-US" w:eastAsia="zh-CN"/>
        </w:rPr>
        <w:t>含有机卤化物废物（液态）、含有机卤化废物（吸附剂分子筛）（固态）</w:t>
      </w:r>
      <w:r>
        <w:rPr>
          <w:rFonts w:hint="default" w:ascii="Times New Roman" w:hAnsi="Times New Roman" w:cs="Times New Roman"/>
          <w:color w:val="auto"/>
          <w:highlight w:val="none"/>
          <w:lang w:val="en-US" w:eastAsia="zh-CN"/>
        </w:rPr>
        <w:t>。</w:t>
      </w:r>
    </w:p>
    <w:p w14:paraId="58C27ED9">
      <w:pPr>
        <w:bidi w:val="0"/>
        <w:rPr>
          <w:rFonts w:hint="default" w:ascii="Times New Roman" w:hAnsi="Times New Roman" w:cs="Times New Roman"/>
          <w:color w:val="auto"/>
          <w:highlight w:val="none"/>
          <w:lang w:val="en-US" w:eastAsia="zh-CN"/>
        </w:rPr>
      </w:pPr>
      <w:r>
        <w:rPr>
          <w:rFonts w:hint="eastAsia"/>
          <w:color w:val="auto"/>
          <w:lang w:val="en-US" w:eastAsia="zh-CN"/>
        </w:rPr>
        <w:t>含有机卤化物废物（液态）、含有机卤化废物（吸附剂分子筛）（固态）</w:t>
      </w:r>
      <w:r>
        <w:rPr>
          <w:rFonts w:hint="default" w:ascii="Times New Roman" w:hAnsi="Times New Roman" w:cs="Times New Roman"/>
          <w:color w:val="auto"/>
          <w:highlight w:val="none"/>
          <w:lang w:val="en-US" w:eastAsia="zh-CN"/>
        </w:rPr>
        <w:t>危废仓库内分区贮存、委托有资质单位进行处置。</w:t>
      </w:r>
    </w:p>
    <w:p w14:paraId="3C4F3027">
      <w:pPr>
        <w:pStyle w:val="4"/>
        <w:bidi w:val="0"/>
        <w:rPr>
          <w:rFonts w:hint="default" w:ascii="Times New Roman" w:hAnsi="Times New Roman" w:cs="Times New Roman"/>
          <w:color w:val="auto"/>
          <w:highlight w:val="none"/>
        </w:rPr>
      </w:pPr>
      <w:bookmarkStart w:id="27" w:name="_Toc552"/>
      <w:r>
        <w:rPr>
          <w:rFonts w:hint="default" w:ascii="Times New Roman" w:hAnsi="Times New Roman" w:cs="Times New Roman"/>
          <w:color w:val="auto"/>
          <w:highlight w:val="none"/>
          <w:lang w:val="en-US" w:eastAsia="zh-CN"/>
        </w:rPr>
        <w:t xml:space="preserve">1.1.3 </w:t>
      </w:r>
      <w:r>
        <w:rPr>
          <w:rFonts w:hint="default" w:ascii="Times New Roman" w:hAnsi="Times New Roman" w:cs="Times New Roman"/>
          <w:color w:val="auto"/>
          <w:highlight w:val="none"/>
        </w:rPr>
        <w:t>HCFC-141b生产线现状</w:t>
      </w:r>
      <w:bookmarkEnd w:id="27"/>
    </w:p>
    <w:p w14:paraId="4C724A5C">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HCFC-141b生产装置的主要生产场所包括一个生产装置车间及独立的控制楼，一个配套的辅助冷冻车间，一个</w:t>
      </w:r>
      <w:r>
        <w:rPr>
          <w:rFonts w:hint="eastAsia"/>
          <w:color w:val="auto"/>
          <w:lang w:val="en-US" w:eastAsia="zh-CN"/>
        </w:rPr>
        <w:t>甲B类罐区（含2台偏氯乙烯储槽）</w:t>
      </w:r>
      <w:r>
        <w:rPr>
          <w:rFonts w:hint="default" w:ascii="Times New Roman" w:hAnsi="Times New Roman" w:cs="Times New Roman"/>
          <w:color w:val="auto"/>
          <w:highlight w:val="none"/>
        </w:rPr>
        <w:t>、一个HCFC-141b成品充装间、一个产品仓库等</w:t>
      </w:r>
      <w:r>
        <w:rPr>
          <w:rFonts w:hint="default" w:ascii="Times New Roman" w:hAnsi="Times New Roman" w:cs="Times New Roman"/>
          <w:color w:val="auto"/>
          <w:highlight w:val="none"/>
          <w:lang w:eastAsia="zh-CN"/>
        </w:rPr>
        <w:t>。</w:t>
      </w:r>
    </w:p>
    <w:p w14:paraId="5F8FEEB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HCFC-141b生产线已于20</w:t>
      </w:r>
      <w:r>
        <w:rPr>
          <w:rFonts w:hint="default"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月停产，目前正有序地开展HCFC-141b生产线拆除前的各项准备工作，计划对HCFC-141b生产线装置进行永久关闭和拆除。</w:t>
      </w:r>
    </w:p>
    <w:p w14:paraId="29FFF23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2024年10月下旬停产后转移的物料种类，涉及产品为F141b，充装于200L铁桶，执行充装操作规程，暂存于成品仓库。用叉车装车外售。涉及副产为F142b，数量为0.69吨，充装于钢瓶，执行充装操作规程，暂存于充装间，2025年2月用作本公司VDF生产装置的原料使用。不涉及中间产品。涉及主要原料偏氯乙烯和氢氟酸完全耗用，无多余残料。另辅料为碱液，数量为1.1吨，通过管道输送到吨桶，装卸执行操作规程，送至VDF生产装置使用</w:t>
      </w:r>
    </w:p>
    <w:p w14:paraId="1F8C531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物料转移阶段的环保措施依托企业现有环保设施开展。</w:t>
      </w:r>
    </w:p>
    <w:p w14:paraId="79E61CC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截止2024年12月底，</w:t>
      </w:r>
      <w:r>
        <w:rPr>
          <w:rFonts w:hint="default" w:ascii="Times New Roman" w:hAnsi="Times New Roman" w:cs="Times New Roman"/>
          <w:color w:val="auto"/>
          <w:highlight w:val="none"/>
        </w:rPr>
        <w:t>已完成了装置系统内相关物料、固废的清理和处置工作。系统各设备、管道内无遗留物料。</w:t>
      </w:r>
    </w:p>
    <w:p w14:paraId="00ECD29A">
      <w:pPr>
        <w:pStyle w:val="4"/>
        <w:numPr>
          <w:ilvl w:val="0"/>
          <w:numId w:val="0"/>
        </w:numPr>
        <w:bidi w:val="0"/>
        <w:ind w:leftChars="0"/>
        <w:rPr>
          <w:rFonts w:hint="default" w:ascii="Times New Roman" w:hAnsi="Times New Roman" w:cs="Times New Roman"/>
          <w:color w:val="auto"/>
          <w:highlight w:val="none"/>
        </w:rPr>
      </w:pPr>
      <w:bookmarkStart w:id="28" w:name="_Toc21977"/>
      <w:r>
        <w:rPr>
          <w:rFonts w:hint="default" w:ascii="Times New Roman" w:hAnsi="Times New Roman" w:cs="Times New Roman"/>
          <w:color w:val="auto"/>
          <w:highlight w:val="none"/>
          <w:lang w:val="en-US" w:eastAsia="zh-CN"/>
        </w:rPr>
        <w:t xml:space="preserve">1.1.4 </w:t>
      </w:r>
      <w:r>
        <w:rPr>
          <w:rFonts w:hint="default" w:ascii="Times New Roman" w:hAnsi="Times New Roman" w:cs="Times New Roman"/>
          <w:color w:val="auto"/>
          <w:highlight w:val="none"/>
        </w:rPr>
        <w:t>HCFC-141b生产线拆除工程概况</w:t>
      </w:r>
      <w:bookmarkEnd w:id="28"/>
    </w:p>
    <w:p w14:paraId="2F1DD96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本拆除工程（常熟三爱富氟化工</w:t>
      </w:r>
      <w:r>
        <w:rPr>
          <w:rFonts w:hint="default" w:ascii="Times New Roman" w:hAnsi="Times New Roman" w:cs="Times New Roman"/>
          <w:color w:val="auto"/>
          <w:highlight w:val="none"/>
          <w:lang w:val="en-US"/>
        </w:rPr>
        <w:t>有限责任公司</w:t>
      </w: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装置拆除工程）包括原有设备、管道、电气、仪表、部分设备砼基础、设备钢结构框架拆除</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rPr>
        <w:t>生产单元混凝土框架主体不在本次拆除范围内）</w:t>
      </w:r>
      <w:r>
        <w:rPr>
          <w:rFonts w:hint="default" w:ascii="Times New Roman" w:hAnsi="Times New Roman" w:cs="Times New Roman"/>
          <w:color w:val="auto"/>
          <w:highlight w:val="none"/>
        </w:rPr>
        <w:t>及施工现场围护、拆除物品、垃圾的清运、将物品清运到招标人指定的堆放地点，堆放场地进行围护等。待拆除的各类装置内部分设备及管道内均进行置换达到要求后交付拆除。</w:t>
      </w:r>
    </w:p>
    <w:p w14:paraId="7941C55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现遗留</w:t>
      </w:r>
      <w:r>
        <w:rPr>
          <w:rFonts w:hint="default" w:ascii="Times New Roman" w:hAnsi="Times New Roman" w:cs="Times New Roman"/>
          <w:color w:val="auto"/>
          <w:highlight w:val="none"/>
          <w:lang w:val="en-US" w:eastAsia="zh-CN"/>
        </w:rPr>
        <w:t>生产线</w:t>
      </w:r>
      <w:r>
        <w:rPr>
          <w:rFonts w:hint="default" w:ascii="Times New Roman" w:hAnsi="Times New Roman" w:cs="Times New Roman"/>
          <w:color w:val="auto"/>
          <w:highlight w:val="none"/>
        </w:rPr>
        <w:t>设备明细如下：</w:t>
      </w:r>
    </w:p>
    <w:p w14:paraId="4A9E3905">
      <w:pPr>
        <w:pStyle w:val="46"/>
        <w:spacing w:before="163"/>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 xml:space="preserve">表 </w:t>
      </w:r>
      <w:r>
        <w:rPr>
          <w:rFonts w:hint="default" w:ascii="Times New Roman" w:hAnsi="Times New Roman" w:cs="Times New Roman"/>
          <w:color w:val="auto"/>
          <w:highlight w:val="none"/>
          <w:lang w:val="en-US" w:eastAsia="zh-CN"/>
        </w:rPr>
        <w:t>1.1-</w:t>
      </w:r>
      <w:r>
        <w:rPr>
          <w:rFonts w:hint="eastAsia" w:ascii="Times New Roman" w:hAnsi="Times New Roman" w:cs="Times New Roman"/>
          <w:color w:val="auto"/>
          <w:highlight w:val="none"/>
          <w:lang w:val="en-US" w:eastAsia="zh-CN"/>
        </w:rPr>
        <w:t>11</w:t>
      </w:r>
      <w:r>
        <w:rPr>
          <w:rFonts w:hint="default" w:ascii="Times New Roman" w:hAnsi="Times New Roman" w:cs="Times New Roman"/>
          <w:color w:val="auto"/>
          <w:highlight w:val="none"/>
          <w:lang w:eastAsia="zh-CN"/>
        </w:rPr>
        <w:t xml:space="preserve"> HCFC-141b生产线拟拆除主要设备清单</w:t>
      </w:r>
    </w:p>
    <w:tbl>
      <w:tblPr>
        <w:tblStyle w:val="2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99"/>
        <w:gridCol w:w="2595"/>
        <w:gridCol w:w="2670"/>
        <w:gridCol w:w="717"/>
        <w:gridCol w:w="1438"/>
      </w:tblGrid>
      <w:tr w14:paraId="12FEE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jc w:val="center"/>
        </w:trPr>
        <w:tc>
          <w:tcPr>
            <w:tcW w:w="540" w:type="pct"/>
            <w:vAlign w:val="center"/>
          </w:tcPr>
          <w:p w14:paraId="3143B40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559" w:type="pct"/>
            <w:vAlign w:val="center"/>
          </w:tcPr>
          <w:p w14:paraId="5F5A933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1604" w:type="pct"/>
            <w:vAlign w:val="center"/>
          </w:tcPr>
          <w:p w14:paraId="549226A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规格、型号</w:t>
            </w:r>
          </w:p>
        </w:tc>
        <w:tc>
          <w:tcPr>
            <w:tcW w:w="431" w:type="pct"/>
            <w:vAlign w:val="center"/>
          </w:tcPr>
          <w:p w14:paraId="5AB3DA3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c>
          <w:tcPr>
            <w:tcW w:w="864" w:type="pct"/>
            <w:vAlign w:val="center"/>
          </w:tcPr>
          <w:p w14:paraId="6F0936A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材质</w:t>
            </w:r>
          </w:p>
        </w:tc>
      </w:tr>
      <w:tr w14:paraId="62589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540" w:type="pct"/>
            <w:vAlign w:val="center"/>
          </w:tcPr>
          <w:p w14:paraId="499223E8">
            <w:pPr>
              <w:pStyle w:val="4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w:t>
            </w:r>
          </w:p>
        </w:tc>
        <w:tc>
          <w:tcPr>
            <w:tcW w:w="1559" w:type="pct"/>
            <w:vAlign w:val="center"/>
          </w:tcPr>
          <w:p w14:paraId="3266F56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反应釜</w:t>
            </w:r>
          </w:p>
        </w:tc>
        <w:tc>
          <w:tcPr>
            <w:tcW w:w="1604" w:type="pct"/>
            <w:vAlign w:val="center"/>
          </w:tcPr>
          <w:p w14:paraId="17BB60C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V=5.9m³</w:t>
            </w:r>
          </w:p>
        </w:tc>
        <w:tc>
          <w:tcPr>
            <w:tcW w:w="431" w:type="pct"/>
            <w:vAlign w:val="center"/>
          </w:tcPr>
          <w:p w14:paraId="090AAFE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864" w:type="pct"/>
            <w:vAlign w:val="center"/>
          </w:tcPr>
          <w:p w14:paraId="54FD801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42E13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540" w:type="pct"/>
            <w:vAlign w:val="center"/>
          </w:tcPr>
          <w:p w14:paraId="15FF0E60">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559" w:type="pct"/>
            <w:vAlign w:val="center"/>
          </w:tcPr>
          <w:p w14:paraId="5E92C9F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HF计量槽</w:t>
            </w:r>
          </w:p>
        </w:tc>
        <w:tc>
          <w:tcPr>
            <w:tcW w:w="1604" w:type="pct"/>
            <w:vAlign w:val="center"/>
          </w:tcPr>
          <w:p w14:paraId="412888B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V=8 m³</w:t>
            </w:r>
          </w:p>
        </w:tc>
        <w:tc>
          <w:tcPr>
            <w:tcW w:w="431" w:type="pct"/>
            <w:vAlign w:val="center"/>
          </w:tcPr>
          <w:p w14:paraId="30B11A9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864" w:type="pct"/>
            <w:vAlign w:val="center"/>
          </w:tcPr>
          <w:p w14:paraId="7E27E16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05441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40" w:type="pct"/>
            <w:vAlign w:val="center"/>
          </w:tcPr>
          <w:p w14:paraId="2FA573B4">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559" w:type="pct"/>
            <w:vAlign w:val="center"/>
          </w:tcPr>
          <w:p w14:paraId="43210B2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VDC计量槽</w:t>
            </w:r>
          </w:p>
        </w:tc>
        <w:tc>
          <w:tcPr>
            <w:tcW w:w="1604" w:type="pct"/>
            <w:vAlign w:val="center"/>
          </w:tcPr>
          <w:p w14:paraId="19D161F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V=3 m³</w:t>
            </w:r>
          </w:p>
        </w:tc>
        <w:tc>
          <w:tcPr>
            <w:tcW w:w="431" w:type="pct"/>
            <w:vAlign w:val="center"/>
          </w:tcPr>
          <w:p w14:paraId="6F20FCA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864" w:type="pct"/>
            <w:vAlign w:val="center"/>
          </w:tcPr>
          <w:p w14:paraId="721F081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05A79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540" w:type="pct"/>
            <w:vAlign w:val="center"/>
          </w:tcPr>
          <w:p w14:paraId="2F10906D">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559" w:type="pct"/>
            <w:vAlign w:val="center"/>
          </w:tcPr>
          <w:p w14:paraId="7780D3D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分层槽</w:t>
            </w:r>
          </w:p>
        </w:tc>
        <w:tc>
          <w:tcPr>
            <w:tcW w:w="1604" w:type="pct"/>
            <w:vAlign w:val="center"/>
          </w:tcPr>
          <w:p w14:paraId="4F1E437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V=8m³</w:t>
            </w:r>
          </w:p>
        </w:tc>
        <w:tc>
          <w:tcPr>
            <w:tcW w:w="431" w:type="pct"/>
            <w:vAlign w:val="center"/>
          </w:tcPr>
          <w:p w14:paraId="6E3C1E9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864" w:type="pct"/>
            <w:vAlign w:val="center"/>
          </w:tcPr>
          <w:p w14:paraId="7D63B0B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2093D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540" w:type="pct"/>
            <w:vAlign w:val="center"/>
          </w:tcPr>
          <w:p w14:paraId="2FC84AA8">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1559" w:type="pct"/>
            <w:vAlign w:val="center"/>
          </w:tcPr>
          <w:p w14:paraId="7683603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酸性料受槽</w:t>
            </w:r>
          </w:p>
        </w:tc>
        <w:tc>
          <w:tcPr>
            <w:tcW w:w="1604" w:type="pct"/>
            <w:vAlign w:val="center"/>
          </w:tcPr>
          <w:p w14:paraId="2BC8802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V=20 m³</w:t>
            </w:r>
          </w:p>
        </w:tc>
        <w:tc>
          <w:tcPr>
            <w:tcW w:w="431" w:type="pct"/>
            <w:vAlign w:val="center"/>
          </w:tcPr>
          <w:p w14:paraId="5C8CB42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864" w:type="pct"/>
            <w:vAlign w:val="center"/>
          </w:tcPr>
          <w:p w14:paraId="7F7EB1F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6CC75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540" w:type="pct"/>
            <w:vAlign w:val="center"/>
          </w:tcPr>
          <w:p w14:paraId="1AE43CC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1559" w:type="pct"/>
            <w:vAlign w:val="center"/>
          </w:tcPr>
          <w:p w14:paraId="3EDF372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中间料槽</w:t>
            </w:r>
          </w:p>
        </w:tc>
        <w:tc>
          <w:tcPr>
            <w:tcW w:w="1604" w:type="pct"/>
            <w:vAlign w:val="center"/>
          </w:tcPr>
          <w:p w14:paraId="68CD051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V=20m³</w:t>
            </w:r>
          </w:p>
        </w:tc>
        <w:tc>
          <w:tcPr>
            <w:tcW w:w="431" w:type="pct"/>
            <w:vAlign w:val="center"/>
          </w:tcPr>
          <w:p w14:paraId="09D4238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3DA4E4E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05F4D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540" w:type="pct"/>
            <w:vAlign w:val="center"/>
          </w:tcPr>
          <w:p w14:paraId="74B36D1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1559" w:type="pct"/>
            <w:vAlign w:val="center"/>
          </w:tcPr>
          <w:p w14:paraId="3707710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碱洗塔</w:t>
            </w:r>
          </w:p>
        </w:tc>
        <w:tc>
          <w:tcPr>
            <w:tcW w:w="1604" w:type="pct"/>
            <w:vAlign w:val="center"/>
          </w:tcPr>
          <w:p w14:paraId="68D3266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Φ500×2500</w:t>
            </w:r>
          </w:p>
        </w:tc>
        <w:tc>
          <w:tcPr>
            <w:tcW w:w="431" w:type="pct"/>
            <w:vAlign w:val="center"/>
          </w:tcPr>
          <w:p w14:paraId="137E2BF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864" w:type="pct"/>
            <w:vAlign w:val="center"/>
          </w:tcPr>
          <w:p w14:paraId="551848B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6F246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40" w:type="pct"/>
            <w:vAlign w:val="center"/>
          </w:tcPr>
          <w:p w14:paraId="7FC1A82C">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1559" w:type="pct"/>
            <w:vAlign w:val="center"/>
          </w:tcPr>
          <w:p w14:paraId="3AC8DF5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中性料槽</w:t>
            </w:r>
          </w:p>
        </w:tc>
        <w:tc>
          <w:tcPr>
            <w:tcW w:w="1604" w:type="pct"/>
            <w:vAlign w:val="center"/>
          </w:tcPr>
          <w:p w14:paraId="798292E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V=20 m³</w:t>
            </w:r>
          </w:p>
        </w:tc>
        <w:tc>
          <w:tcPr>
            <w:tcW w:w="431" w:type="pct"/>
            <w:vAlign w:val="center"/>
          </w:tcPr>
          <w:p w14:paraId="62D3AEB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864" w:type="pct"/>
            <w:vAlign w:val="center"/>
          </w:tcPr>
          <w:p w14:paraId="09BF106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0480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40" w:type="pct"/>
            <w:vAlign w:val="center"/>
          </w:tcPr>
          <w:p w14:paraId="2D90A576">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1559" w:type="pct"/>
            <w:vAlign w:val="center"/>
          </w:tcPr>
          <w:p w14:paraId="75F7C0D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脱气塔釜</w:t>
            </w:r>
          </w:p>
        </w:tc>
        <w:tc>
          <w:tcPr>
            <w:tcW w:w="1604" w:type="pct"/>
            <w:vAlign w:val="center"/>
          </w:tcPr>
          <w:p w14:paraId="391BC98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V=2.7 m³</w:t>
            </w:r>
          </w:p>
        </w:tc>
        <w:tc>
          <w:tcPr>
            <w:tcW w:w="431" w:type="pct"/>
            <w:vAlign w:val="center"/>
          </w:tcPr>
          <w:p w14:paraId="7E5E6C6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3012006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321</w:t>
            </w:r>
          </w:p>
        </w:tc>
      </w:tr>
      <w:tr w14:paraId="6FDBC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40" w:type="pct"/>
            <w:vAlign w:val="center"/>
          </w:tcPr>
          <w:p w14:paraId="3420B034">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559" w:type="pct"/>
            <w:vAlign w:val="center"/>
          </w:tcPr>
          <w:p w14:paraId="4E8B593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精馏塔釜</w:t>
            </w:r>
          </w:p>
        </w:tc>
        <w:tc>
          <w:tcPr>
            <w:tcW w:w="1604" w:type="pct"/>
            <w:vAlign w:val="center"/>
          </w:tcPr>
          <w:p w14:paraId="07923C7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V=4m³</w:t>
            </w:r>
          </w:p>
        </w:tc>
        <w:tc>
          <w:tcPr>
            <w:tcW w:w="431" w:type="pct"/>
            <w:vAlign w:val="center"/>
          </w:tcPr>
          <w:p w14:paraId="306B6AD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864" w:type="pct"/>
            <w:vAlign w:val="center"/>
          </w:tcPr>
          <w:p w14:paraId="7C7C78C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搪瓷</w:t>
            </w:r>
          </w:p>
        </w:tc>
      </w:tr>
      <w:tr w14:paraId="3A1EC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540" w:type="pct"/>
            <w:vAlign w:val="center"/>
          </w:tcPr>
          <w:p w14:paraId="2F03B48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w:t>
            </w:r>
          </w:p>
        </w:tc>
        <w:tc>
          <w:tcPr>
            <w:tcW w:w="1559" w:type="pct"/>
            <w:vAlign w:val="center"/>
          </w:tcPr>
          <w:p w14:paraId="47BA66D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脱偏釜</w:t>
            </w:r>
          </w:p>
        </w:tc>
        <w:tc>
          <w:tcPr>
            <w:tcW w:w="1604" w:type="pct"/>
            <w:vAlign w:val="center"/>
          </w:tcPr>
          <w:p w14:paraId="736DE7E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V=5m³</w:t>
            </w:r>
          </w:p>
        </w:tc>
        <w:tc>
          <w:tcPr>
            <w:tcW w:w="431" w:type="pct"/>
            <w:vAlign w:val="center"/>
          </w:tcPr>
          <w:p w14:paraId="1CD74B9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864" w:type="pct"/>
            <w:vAlign w:val="center"/>
          </w:tcPr>
          <w:p w14:paraId="3D7FC08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16MnR/衬氟</w:t>
            </w:r>
          </w:p>
        </w:tc>
      </w:tr>
      <w:tr w14:paraId="2E1E6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40" w:type="pct"/>
            <w:vAlign w:val="center"/>
          </w:tcPr>
          <w:p w14:paraId="55DFA2E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1559" w:type="pct"/>
            <w:vAlign w:val="center"/>
          </w:tcPr>
          <w:p w14:paraId="341CF64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脱偏受槽</w:t>
            </w:r>
          </w:p>
        </w:tc>
        <w:tc>
          <w:tcPr>
            <w:tcW w:w="1604" w:type="pct"/>
            <w:vAlign w:val="center"/>
          </w:tcPr>
          <w:p w14:paraId="766160A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V=5m³</w:t>
            </w:r>
          </w:p>
        </w:tc>
        <w:tc>
          <w:tcPr>
            <w:tcW w:w="431" w:type="pct"/>
            <w:vAlign w:val="center"/>
          </w:tcPr>
          <w:p w14:paraId="2D22268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751B4BA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16MnR/衬氟</w:t>
            </w:r>
          </w:p>
        </w:tc>
      </w:tr>
      <w:tr w14:paraId="69945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540" w:type="pct"/>
            <w:vAlign w:val="center"/>
          </w:tcPr>
          <w:p w14:paraId="7CC25522">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w:t>
            </w:r>
          </w:p>
        </w:tc>
        <w:tc>
          <w:tcPr>
            <w:tcW w:w="1559" w:type="pct"/>
            <w:vAlign w:val="center"/>
          </w:tcPr>
          <w:p w14:paraId="71BF03B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1#脱酸塔釜</w:t>
            </w:r>
          </w:p>
        </w:tc>
        <w:tc>
          <w:tcPr>
            <w:tcW w:w="1604" w:type="pct"/>
            <w:vAlign w:val="center"/>
          </w:tcPr>
          <w:p w14:paraId="53DAD79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V=2.5m³</w:t>
            </w:r>
          </w:p>
        </w:tc>
        <w:tc>
          <w:tcPr>
            <w:tcW w:w="431" w:type="pct"/>
            <w:vAlign w:val="center"/>
          </w:tcPr>
          <w:p w14:paraId="602A19C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7F0A199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2F5AE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40" w:type="pct"/>
            <w:vAlign w:val="center"/>
          </w:tcPr>
          <w:p w14:paraId="77DC2E9C">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w:t>
            </w:r>
          </w:p>
        </w:tc>
        <w:tc>
          <w:tcPr>
            <w:tcW w:w="1559" w:type="pct"/>
            <w:vAlign w:val="center"/>
          </w:tcPr>
          <w:p w14:paraId="5207D7F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2#脱酸塔釜</w:t>
            </w:r>
          </w:p>
        </w:tc>
        <w:tc>
          <w:tcPr>
            <w:tcW w:w="1604" w:type="pct"/>
            <w:vAlign w:val="center"/>
          </w:tcPr>
          <w:p w14:paraId="3AA7953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V=2.5m³</w:t>
            </w:r>
          </w:p>
        </w:tc>
        <w:tc>
          <w:tcPr>
            <w:tcW w:w="431" w:type="pct"/>
            <w:vAlign w:val="center"/>
          </w:tcPr>
          <w:p w14:paraId="5E72BC2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23EADFB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35E66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540" w:type="pct"/>
            <w:vAlign w:val="center"/>
          </w:tcPr>
          <w:p w14:paraId="2E36A29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1559" w:type="pct"/>
            <w:vAlign w:val="center"/>
          </w:tcPr>
          <w:p w14:paraId="6B4D53E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分油塔釜</w:t>
            </w:r>
          </w:p>
        </w:tc>
        <w:tc>
          <w:tcPr>
            <w:tcW w:w="1604" w:type="pct"/>
            <w:vAlign w:val="center"/>
          </w:tcPr>
          <w:p w14:paraId="68C6B6C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V=1.8m³</w:t>
            </w:r>
          </w:p>
        </w:tc>
        <w:tc>
          <w:tcPr>
            <w:tcW w:w="431" w:type="pct"/>
            <w:vAlign w:val="center"/>
          </w:tcPr>
          <w:p w14:paraId="79062C0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77ED4EE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7CEF9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540" w:type="pct"/>
            <w:vAlign w:val="center"/>
          </w:tcPr>
          <w:p w14:paraId="3CAE19B2">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16</w:t>
            </w:r>
          </w:p>
        </w:tc>
        <w:tc>
          <w:tcPr>
            <w:tcW w:w="1559" w:type="pct"/>
            <w:vAlign w:val="center"/>
          </w:tcPr>
          <w:p w14:paraId="099FFC9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反应回收HF塔釜</w:t>
            </w:r>
          </w:p>
        </w:tc>
        <w:tc>
          <w:tcPr>
            <w:tcW w:w="1604" w:type="pct"/>
            <w:vAlign w:val="center"/>
          </w:tcPr>
          <w:p w14:paraId="48923F6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V=1.8m³</w:t>
            </w:r>
          </w:p>
        </w:tc>
        <w:tc>
          <w:tcPr>
            <w:tcW w:w="431" w:type="pct"/>
            <w:vAlign w:val="center"/>
          </w:tcPr>
          <w:p w14:paraId="007EC01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4838093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44B4B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540" w:type="pct"/>
            <w:vAlign w:val="center"/>
          </w:tcPr>
          <w:p w14:paraId="722496B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17</w:t>
            </w:r>
          </w:p>
        </w:tc>
        <w:tc>
          <w:tcPr>
            <w:tcW w:w="1559" w:type="pct"/>
            <w:vAlign w:val="center"/>
          </w:tcPr>
          <w:p w14:paraId="77BBCDA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1#脱酸回收塔釜</w:t>
            </w:r>
          </w:p>
        </w:tc>
        <w:tc>
          <w:tcPr>
            <w:tcW w:w="1604" w:type="pct"/>
            <w:vAlign w:val="center"/>
          </w:tcPr>
          <w:p w14:paraId="4315F42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V=1.8m³</w:t>
            </w:r>
          </w:p>
        </w:tc>
        <w:tc>
          <w:tcPr>
            <w:tcW w:w="431" w:type="pct"/>
            <w:vAlign w:val="center"/>
          </w:tcPr>
          <w:p w14:paraId="181600B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10E93BE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25388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540" w:type="pct"/>
            <w:vAlign w:val="center"/>
          </w:tcPr>
          <w:p w14:paraId="4515BB1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w:t>
            </w:r>
          </w:p>
        </w:tc>
        <w:tc>
          <w:tcPr>
            <w:tcW w:w="1559" w:type="pct"/>
            <w:vAlign w:val="center"/>
          </w:tcPr>
          <w:p w14:paraId="7AC85B2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2#脱酸回收塔釜</w:t>
            </w:r>
          </w:p>
        </w:tc>
        <w:tc>
          <w:tcPr>
            <w:tcW w:w="1604" w:type="pct"/>
            <w:vAlign w:val="center"/>
          </w:tcPr>
          <w:p w14:paraId="16B7583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V=1.8m³</w:t>
            </w:r>
          </w:p>
        </w:tc>
        <w:tc>
          <w:tcPr>
            <w:tcW w:w="431" w:type="pct"/>
            <w:vAlign w:val="center"/>
          </w:tcPr>
          <w:p w14:paraId="26FE0D6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47A577D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24BAB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540" w:type="pct"/>
            <w:vAlign w:val="center"/>
          </w:tcPr>
          <w:p w14:paraId="72BC2764">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19</w:t>
            </w:r>
          </w:p>
        </w:tc>
        <w:tc>
          <w:tcPr>
            <w:tcW w:w="1559" w:type="pct"/>
            <w:vAlign w:val="center"/>
          </w:tcPr>
          <w:p w14:paraId="06BAE65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F142b粗馏塔釜</w:t>
            </w:r>
          </w:p>
        </w:tc>
        <w:tc>
          <w:tcPr>
            <w:tcW w:w="1604" w:type="pct"/>
            <w:vAlign w:val="center"/>
          </w:tcPr>
          <w:p w14:paraId="15C5A27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V=1.8m³</w:t>
            </w:r>
          </w:p>
        </w:tc>
        <w:tc>
          <w:tcPr>
            <w:tcW w:w="431" w:type="pct"/>
            <w:vAlign w:val="center"/>
          </w:tcPr>
          <w:p w14:paraId="5ED9441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0ECB839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037CA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540" w:type="pct"/>
            <w:vAlign w:val="center"/>
          </w:tcPr>
          <w:p w14:paraId="229383B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1559" w:type="pct"/>
            <w:vAlign w:val="center"/>
          </w:tcPr>
          <w:p w14:paraId="34A425C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F142b脱气塔釜</w:t>
            </w:r>
          </w:p>
        </w:tc>
        <w:tc>
          <w:tcPr>
            <w:tcW w:w="1604" w:type="pct"/>
            <w:vAlign w:val="center"/>
          </w:tcPr>
          <w:p w14:paraId="59AA318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V=0.9 m³</w:t>
            </w:r>
          </w:p>
        </w:tc>
        <w:tc>
          <w:tcPr>
            <w:tcW w:w="431" w:type="pct"/>
            <w:vAlign w:val="center"/>
          </w:tcPr>
          <w:p w14:paraId="7C65F3D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54D8144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3C0CC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540" w:type="pct"/>
            <w:vAlign w:val="center"/>
          </w:tcPr>
          <w:p w14:paraId="09952AB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21</w:t>
            </w:r>
          </w:p>
        </w:tc>
        <w:tc>
          <w:tcPr>
            <w:tcW w:w="1559" w:type="pct"/>
            <w:vAlign w:val="center"/>
          </w:tcPr>
          <w:p w14:paraId="6305B40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F142精馏塔釜</w:t>
            </w:r>
          </w:p>
        </w:tc>
        <w:tc>
          <w:tcPr>
            <w:tcW w:w="1604" w:type="pct"/>
            <w:vAlign w:val="center"/>
          </w:tcPr>
          <w:p w14:paraId="52FB121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V=1.8m³</w:t>
            </w:r>
          </w:p>
        </w:tc>
        <w:tc>
          <w:tcPr>
            <w:tcW w:w="431" w:type="pct"/>
            <w:vAlign w:val="center"/>
          </w:tcPr>
          <w:p w14:paraId="1FEAB72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6B7A2CD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4044D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540" w:type="pct"/>
            <w:vAlign w:val="center"/>
          </w:tcPr>
          <w:p w14:paraId="52F9052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22</w:t>
            </w:r>
          </w:p>
        </w:tc>
        <w:tc>
          <w:tcPr>
            <w:tcW w:w="1559" w:type="pct"/>
            <w:vAlign w:val="center"/>
          </w:tcPr>
          <w:p w14:paraId="4B288B1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F142出料塔受槽</w:t>
            </w:r>
          </w:p>
        </w:tc>
        <w:tc>
          <w:tcPr>
            <w:tcW w:w="1604" w:type="pct"/>
            <w:vAlign w:val="center"/>
          </w:tcPr>
          <w:p w14:paraId="72AD103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V=1m³</w:t>
            </w:r>
          </w:p>
        </w:tc>
        <w:tc>
          <w:tcPr>
            <w:tcW w:w="431" w:type="pct"/>
            <w:vAlign w:val="center"/>
          </w:tcPr>
          <w:p w14:paraId="17C08A0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2B450E3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7E4DA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540" w:type="pct"/>
            <w:vAlign w:val="center"/>
          </w:tcPr>
          <w:p w14:paraId="6EF4B5B6">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23</w:t>
            </w:r>
          </w:p>
        </w:tc>
        <w:tc>
          <w:tcPr>
            <w:tcW w:w="1559" w:type="pct"/>
            <w:vAlign w:val="center"/>
          </w:tcPr>
          <w:p w14:paraId="3DC8C27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F142中间槽</w:t>
            </w:r>
          </w:p>
        </w:tc>
        <w:tc>
          <w:tcPr>
            <w:tcW w:w="1604" w:type="pct"/>
            <w:vAlign w:val="center"/>
          </w:tcPr>
          <w:p w14:paraId="3F7C830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V=2.3 m³</w:t>
            </w:r>
          </w:p>
        </w:tc>
        <w:tc>
          <w:tcPr>
            <w:tcW w:w="431" w:type="pct"/>
            <w:vAlign w:val="center"/>
          </w:tcPr>
          <w:p w14:paraId="369242D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2054865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25ECF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540" w:type="pct"/>
            <w:vAlign w:val="center"/>
          </w:tcPr>
          <w:p w14:paraId="1453028D">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24</w:t>
            </w:r>
          </w:p>
        </w:tc>
        <w:tc>
          <w:tcPr>
            <w:tcW w:w="1559" w:type="pct"/>
            <w:vAlign w:val="center"/>
          </w:tcPr>
          <w:p w14:paraId="13C3577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F142粗料槽</w:t>
            </w:r>
          </w:p>
        </w:tc>
        <w:tc>
          <w:tcPr>
            <w:tcW w:w="1604" w:type="pct"/>
            <w:vAlign w:val="center"/>
          </w:tcPr>
          <w:p w14:paraId="2E0FA0C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V=4m³</w:t>
            </w:r>
          </w:p>
        </w:tc>
        <w:tc>
          <w:tcPr>
            <w:tcW w:w="431" w:type="pct"/>
            <w:vAlign w:val="center"/>
          </w:tcPr>
          <w:p w14:paraId="70920CA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62C5F83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1F0FE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40" w:type="pct"/>
            <w:vAlign w:val="center"/>
          </w:tcPr>
          <w:p w14:paraId="2C840E75">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w:t>
            </w:r>
          </w:p>
        </w:tc>
        <w:tc>
          <w:tcPr>
            <w:tcW w:w="1559" w:type="pct"/>
            <w:vAlign w:val="center"/>
          </w:tcPr>
          <w:p w14:paraId="6712D4E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F142成品大槽</w:t>
            </w:r>
          </w:p>
        </w:tc>
        <w:tc>
          <w:tcPr>
            <w:tcW w:w="1604" w:type="pct"/>
            <w:vAlign w:val="center"/>
          </w:tcPr>
          <w:p w14:paraId="3D3FBA2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V=20m³</w:t>
            </w:r>
          </w:p>
        </w:tc>
        <w:tc>
          <w:tcPr>
            <w:tcW w:w="431" w:type="pct"/>
            <w:vAlign w:val="center"/>
          </w:tcPr>
          <w:p w14:paraId="66308E1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418EAF1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224E6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540" w:type="pct"/>
            <w:vAlign w:val="center"/>
          </w:tcPr>
          <w:p w14:paraId="04B291D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26</w:t>
            </w:r>
          </w:p>
        </w:tc>
        <w:tc>
          <w:tcPr>
            <w:tcW w:w="1559" w:type="pct"/>
            <w:vAlign w:val="center"/>
          </w:tcPr>
          <w:p w14:paraId="0905D61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F142b冷冻脱水器</w:t>
            </w:r>
          </w:p>
        </w:tc>
        <w:tc>
          <w:tcPr>
            <w:tcW w:w="1604" w:type="pct"/>
            <w:vAlign w:val="center"/>
          </w:tcPr>
          <w:p w14:paraId="0EDF344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F=32m²</w:t>
            </w:r>
          </w:p>
        </w:tc>
        <w:tc>
          <w:tcPr>
            <w:tcW w:w="431" w:type="pct"/>
            <w:vAlign w:val="center"/>
          </w:tcPr>
          <w:p w14:paraId="3D578A6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0268EE9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16MnR/20</w:t>
            </w:r>
          </w:p>
        </w:tc>
      </w:tr>
      <w:tr w14:paraId="4BFD8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pct"/>
            <w:vAlign w:val="center"/>
          </w:tcPr>
          <w:p w14:paraId="047E723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27</w:t>
            </w:r>
          </w:p>
        </w:tc>
        <w:tc>
          <w:tcPr>
            <w:tcW w:w="1559" w:type="pct"/>
            <w:vAlign w:val="center"/>
          </w:tcPr>
          <w:p w14:paraId="2DA837E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1#脱酸塔</w:t>
            </w:r>
          </w:p>
        </w:tc>
        <w:tc>
          <w:tcPr>
            <w:tcW w:w="1604" w:type="pct"/>
            <w:vAlign w:val="center"/>
          </w:tcPr>
          <w:p w14:paraId="60731CF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Φ400×12000</w:t>
            </w:r>
          </w:p>
        </w:tc>
        <w:tc>
          <w:tcPr>
            <w:tcW w:w="431" w:type="pct"/>
            <w:vAlign w:val="center"/>
          </w:tcPr>
          <w:p w14:paraId="6D2D4D1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5CB582E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030D1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40" w:type="pct"/>
            <w:vAlign w:val="center"/>
          </w:tcPr>
          <w:p w14:paraId="43949EDD">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28</w:t>
            </w:r>
          </w:p>
        </w:tc>
        <w:tc>
          <w:tcPr>
            <w:tcW w:w="1559" w:type="pct"/>
            <w:vAlign w:val="center"/>
          </w:tcPr>
          <w:p w14:paraId="4EA6C3D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2#脱酸塔</w:t>
            </w:r>
          </w:p>
        </w:tc>
        <w:tc>
          <w:tcPr>
            <w:tcW w:w="1604" w:type="pct"/>
            <w:vAlign w:val="center"/>
          </w:tcPr>
          <w:p w14:paraId="5631B68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Φ400×12000</w:t>
            </w:r>
          </w:p>
        </w:tc>
        <w:tc>
          <w:tcPr>
            <w:tcW w:w="431" w:type="pct"/>
            <w:vAlign w:val="center"/>
          </w:tcPr>
          <w:p w14:paraId="399791F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0A58059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7193F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540" w:type="pct"/>
            <w:vAlign w:val="center"/>
          </w:tcPr>
          <w:p w14:paraId="7CDBB80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29</w:t>
            </w:r>
          </w:p>
        </w:tc>
        <w:tc>
          <w:tcPr>
            <w:tcW w:w="1559" w:type="pct"/>
            <w:vAlign w:val="center"/>
          </w:tcPr>
          <w:p w14:paraId="1AF2CE0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脱气塔</w:t>
            </w:r>
          </w:p>
        </w:tc>
        <w:tc>
          <w:tcPr>
            <w:tcW w:w="1604" w:type="pct"/>
            <w:vAlign w:val="center"/>
          </w:tcPr>
          <w:p w14:paraId="2FF9746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Φ500×22000  426*15620</w:t>
            </w:r>
          </w:p>
        </w:tc>
        <w:tc>
          <w:tcPr>
            <w:tcW w:w="431" w:type="pct"/>
            <w:vAlign w:val="center"/>
          </w:tcPr>
          <w:p w14:paraId="3959A43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748EB29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321</w:t>
            </w:r>
          </w:p>
        </w:tc>
      </w:tr>
      <w:tr w14:paraId="64FD0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540" w:type="pct"/>
            <w:vAlign w:val="center"/>
          </w:tcPr>
          <w:p w14:paraId="2A92FFA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1559" w:type="pct"/>
            <w:vAlign w:val="center"/>
          </w:tcPr>
          <w:p w14:paraId="230D4FE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精馏塔</w:t>
            </w:r>
          </w:p>
        </w:tc>
        <w:tc>
          <w:tcPr>
            <w:tcW w:w="1604" w:type="pct"/>
            <w:vAlign w:val="center"/>
          </w:tcPr>
          <w:p w14:paraId="080ACF0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Φ400×16600</w:t>
            </w:r>
          </w:p>
        </w:tc>
        <w:tc>
          <w:tcPr>
            <w:tcW w:w="431" w:type="pct"/>
            <w:vAlign w:val="center"/>
          </w:tcPr>
          <w:p w14:paraId="332102C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864" w:type="pct"/>
            <w:vAlign w:val="center"/>
          </w:tcPr>
          <w:p w14:paraId="2FEF3F6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搪瓷</w:t>
            </w:r>
          </w:p>
        </w:tc>
      </w:tr>
      <w:tr w14:paraId="66C94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540" w:type="pct"/>
            <w:vAlign w:val="center"/>
          </w:tcPr>
          <w:p w14:paraId="3CD7CE52">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w:t>
            </w:r>
          </w:p>
        </w:tc>
        <w:tc>
          <w:tcPr>
            <w:tcW w:w="1559" w:type="pct"/>
            <w:vAlign w:val="center"/>
          </w:tcPr>
          <w:p w14:paraId="1BA62CD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1#脱酸回收塔</w:t>
            </w:r>
          </w:p>
        </w:tc>
        <w:tc>
          <w:tcPr>
            <w:tcW w:w="1604" w:type="pct"/>
            <w:vAlign w:val="center"/>
          </w:tcPr>
          <w:p w14:paraId="6C65E0B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Φ400×17000</w:t>
            </w:r>
          </w:p>
        </w:tc>
        <w:tc>
          <w:tcPr>
            <w:tcW w:w="431" w:type="pct"/>
            <w:vAlign w:val="center"/>
          </w:tcPr>
          <w:p w14:paraId="7D0E934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5336A73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25B60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540" w:type="pct"/>
            <w:vAlign w:val="center"/>
          </w:tcPr>
          <w:p w14:paraId="2B5E5F6B">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32</w:t>
            </w:r>
          </w:p>
        </w:tc>
        <w:tc>
          <w:tcPr>
            <w:tcW w:w="1559" w:type="pct"/>
            <w:vAlign w:val="center"/>
          </w:tcPr>
          <w:p w14:paraId="32131DA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F142b脱气塔</w:t>
            </w:r>
          </w:p>
        </w:tc>
        <w:tc>
          <w:tcPr>
            <w:tcW w:w="1604" w:type="pct"/>
            <w:vAlign w:val="center"/>
          </w:tcPr>
          <w:p w14:paraId="637D9F9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Φ300×20000</w:t>
            </w:r>
          </w:p>
        </w:tc>
        <w:tc>
          <w:tcPr>
            <w:tcW w:w="431" w:type="pct"/>
            <w:vAlign w:val="center"/>
          </w:tcPr>
          <w:p w14:paraId="4BEACF7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52EF85F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57AA9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540" w:type="pct"/>
            <w:vAlign w:val="center"/>
          </w:tcPr>
          <w:p w14:paraId="345BCE3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33</w:t>
            </w:r>
          </w:p>
        </w:tc>
        <w:tc>
          <w:tcPr>
            <w:tcW w:w="1559" w:type="pct"/>
            <w:vAlign w:val="center"/>
          </w:tcPr>
          <w:p w14:paraId="5E81C24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F142b精馏塔</w:t>
            </w:r>
          </w:p>
        </w:tc>
        <w:tc>
          <w:tcPr>
            <w:tcW w:w="1604" w:type="pct"/>
            <w:vAlign w:val="center"/>
          </w:tcPr>
          <w:p w14:paraId="6927B74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Φ300×22500</w:t>
            </w:r>
          </w:p>
        </w:tc>
        <w:tc>
          <w:tcPr>
            <w:tcW w:w="431" w:type="pct"/>
            <w:vAlign w:val="center"/>
          </w:tcPr>
          <w:p w14:paraId="1BAF666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6248861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66E19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540" w:type="pct"/>
            <w:vAlign w:val="center"/>
          </w:tcPr>
          <w:p w14:paraId="23069824">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34</w:t>
            </w:r>
          </w:p>
        </w:tc>
        <w:tc>
          <w:tcPr>
            <w:tcW w:w="1559" w:type="pct"/>
            <w:vAlign w:val="center"/>
          </w:tcPr>
          <w:p w14:paraId="1898FE0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F142b粗馏塔</w:t>
            </w:r>
          </w:p>
        </w:tc>
        <w:tc>
          <w:tcPr>
            <w:tcW w:w="1604" w:type="pct"/>
            <w:vAlign w:val="center"/>
          </w:tcPr>
          <w:p w14:paraId="0598FDD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Φ300×12500</w:t>
            </w:r>
          </w:p>
        </w:tc>
        <w:tc>
          <w:tcPr>
            <w:tcW w:w="431" w:type="pct"/>
            <w:vAlign w:val="center"/>
          </w:tcPr>
          <w:p w14:paraId="7B76F0C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40C1C2F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6ECC6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540" w:type="pct"/>
            <w:vAlign w:val="center"/>
          </w:tcPr>
          <w:p w14:paraId="40D88F9D">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w:t>
            </w:r>
          </w:p>
        </w:tc>
        <w:tc>
          <w:tcPr>
            <w:tcW w:w="1559" w:type="pct"/>
            <w:vAlign w:val="center"/>
          </w:tcPr>
          <w:p w14:paraId="323F3FF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环丁砜计量槽</w:t>
            </w:r>
          </w:p>
        </w:tc>
        <w:tc>
          <w:tcPr>
            <w:tcW w:w="1604" w:type="pct"/>
            <w:vAlign w:val="center"/>
          </w:tcPr>
          <w:p w14:paraId="7337938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V=1.5m³</w:t>
            </w:r>
          </w:p>
        </w:tc>
        <w:tc>
          <w:tcPr>
            <w:tcW w:w="431" w:type="pct"/>
            <w:vAlign w:val="center"/>
          </w:tcPr>
          <w:p w14:paraId="46F6453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446259D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35278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540" w:type="pct"/>
            <w:vAlign w:val="center"/>
          </w:tcPr>
          <w:p w14:paraId="4E58940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36</w:t>
            </w:r>
          </w:p>
        </w:tc>
        <w:tc>
          <w:tcPr>
            <w:tcW w:w="1559" w:type="pct"/>
            <w:vAlign w:val="center"/>
          </w:tcPr>
          <w:p w14:paraId="61D6002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偏二氯乙烯槽</w:t>
            </w:r>
          </w:p>
        </w:tc>
        <w:tc>
          <w:tcPr>
            <w:tcW w:w="1604" w:type="pct"/>
            <w:vAlign w:val="center"/>
          </w:tcPr>
          <w:p w14:paraId="2F9B841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V=100m³</w:t>
            </w:r>
          </w:p>
        </w:tc>
        <w:tc>
          <w:tcPr>
            <w:tcW w:w="431" w:type="pct"/>
            <w:vAlign w:val="center"/>
          </w:tcPr>
          <w:p w14:paraId="281DCA3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471285B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71E63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540" w:type="pct"/>
            <w:vAlign w:val="center"/>
          </w:tcPr>
          <w:p w14:paraId="448F7308">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w:t>
            </w:r>
          </w:p>
        </w:tc>
        <w:tc>
          <w:tcPr>
            <w:tcW w:w="1559" w:type="pct"/>
            <w:vAlign w:val="center"/>
          </w:tcPr>
          <w:p w14:paraId="59E6CD1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成品大槽</w:t>
            </w:r>
          </w:p>
        </w:tc>
        <w:tc>
          <w:tcPr>
            <w:tcW w:w="1604" w:type="pct"/>
            <w:vAlign w:val="center"/>
          </w:tcPr>
          <w:p w14:paraId="7A681F8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V=20m³</w:t>
            </w:r>
          </w:p>
          <w:p w14:paraId="505DE63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V=50m³</w:t>
            </w:r>
          </w:p>
        </w:tc>
        <w:tc>
          <w:tcPr>
            <w:tcW w:w="431" w:type="pct"/>
            <w:vAlign w:val="center"/>
          </w:tcPr>
          <w:p w14:paraId="54C6A98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p w14:paraId="4EB8925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4A81CA2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16MnR</w:t>
            </w:r>
          </w:p>
        </w:tc>
      </w:tr>
      <w:tr w14:paraId="36F9B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575F0AE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38</w:t>
            </w:r>
          </w:p>
        </w:tc>
        <w:tc>
          <w:tcPr>
            <w:tcW w:w="1559" w:type="pct"/>
            <w:vAlign w:val="center"/>
          </w:tcPr>
          <w:p w14:paraId="5D2D686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分层釜应急槽</w:t>
            </w:r>
          </w:p>
        </w:tc>
        <w:tc>
          <w:tcPr>
            <w:tcW w:w="1604" w:type="pct"/>
            <w:vAlign w:val="center"/>
          </w:tcPr>
          <w:p w14:paraId="6A75499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V=8.3m³</w:t>
            </w:r>
          </w:p>
        </w:tc>
        <w:tc>
          <w:tcPr>
            <w:tcW w:w="431" w:type="pct"/>
            <w:vAlign w:val="center"/>
          </w:tcPr>
          <w:p w14:paraId="04C1E5C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6626F03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3B907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5EC32DD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39</w:t>
            </w:r>
          </w:p>
        </w:tc>
        <w:tc>
          <w:tcPr>
            <w:tcW w:w="1559" w:type="pct"/>
            <w:vAlign w:val="center"/>
          </w:tcPr>
          <w:p w14:paraId="5705D47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（脱偏剂）溴素计量槽</w:t>
            </w:r>
          </w:p>
        </w:tc>
        <w:tc>
          <w:tcPr>
            <w:tcW w:w="1604" w:type="pct"/>
            <w:vAlign w:val="center"/>
          </w:tcPr>
          <w:p w14:paraId="3CA86DB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Φ350*700</w:t>
            </w:r>
          </w:p>
        </w:tc>
        <w:tc>
          <w:tcPr>
            <w:tcW w:w="431" w:type="pct"/>
            <w:vAlign w:val="center"/>
          </w:tcPr>
          <w:p w14:paraId="04F450D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084AA9B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钢衬氟</w:t>
            </w:r>
          </w:p>
        </w:tc>
      </w:tr>
      <w:tr w14:paraId="77BF9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12AF1182">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w:t>
            </w:r>
          </w:p>
        </w:tc>
        <w:tc>
          <w:tcPr>
            <w:tcW w:w="1559" w:type="pct"/>
            <w:vAlign w:val="center"/>
          </w:tcPr>
          <w:p w14:paraId="0073F23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高沸物贮槽</w:t>
            </w:r>
          </w:p>
        </w:tc>
        <w:tc>
          <w:tcPr>
            <w:tcW w:w="1604" w:type="pct"/>
            <w:vAlign w:val="center"/>
          </w:tcPr>
          <w:p w14:paraId="338E8EE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V=30 m³</w:t>
            </w:r>
          </w:p>
        </w:tc>
        <w:tc>
          <w:tcPr>
            <w:tcW w:w="431" w:type="pct"/>
            <w:vAlign w:val="center"/>
          </w:tcPr>
          <w:p w14:paraId="5AD8BF4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7BF0D77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55C82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5E6CAB54">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w:t>
            </w:r>
          </w:p>
        </w:tc>
        <w:tc>
          <w:tcPr>
            <w:tcW w:w="1559" w:type="pct"/>
            <w:vAlign w:val="center"/>
          </w:tcPr>
          <w:p w14:paraId="00172EC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反应回收HF塔身</w:t>
            </w:r>
          </w:p>
        </w:tc>
        <w:tc>
          <w:tcPr>
            <w:tcW w:w="1604" w:type="pct"/>
            <w:vAlign w:val="center"/>
          </w:tcPr>
          <w:p w14:paraId="2094BFA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Φ426*12885</w:t>
            </w:r>
          </w:p>
        </w:tc>
        <w:tc>
          <w:tcPr>
            <w:tcW w:w="431" w:type="pct"/>
            <w:vAlign w:val="center"/>
          </w:tcPr>
          <w:p w14:paraId="244142A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347C97C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6B60B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7C5C918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w:t>
            </w:r>
          </w:p>
        </w:tc>
        <w:tc>
          <w:tcPr>
            <w:tcW w:w="1559" w:type="pct"/>
            <w:vAlign w:val="center"/>
          </w:tcPr>
          <w:p w14:paraId="6C31181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2＃脱酸回收塔身</w:t>
            </w:r>
          </w:p>
        </w:tc>
        <w:tc>
          <w:tcPr>
            <w:tcW w:w="1604" w:type="pct"/>
            <w:vAlign w:val="center"/>
          </w:tcPr>
          <w:p w14:paraId="55FBD8F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Φ426*12785</w:t>
            </w:r>
          </w:p>
        </w:tc>
        <w:tc>
          <w:tcPr>
            <w:tcW w:w="431" w:type="pct"/>
            <w:vAlign w:val="center"/>
          </w:tcPr>
          <w:p w14:paraId="13E9269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0C26F23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333ED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05932342">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43</w:t>
            </w:r>
          </w:p>
        </w:tc>
        <w:tc>
          <w:tcPr>
            <w:tcW w:w="1559" w:type="pct"/>
            <w:vAlign w:val="center"/>
          </w:tcPr>
          <w:p w14:paraId="5335902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F142b中间槽（大）</w:t>
            </w:r>
          </w:p>
        </w:tc>
        <w:tc>
          <w:tcPr>
            <w:tcW w:w="1604" w:type="pct"/>
            <w:vAlign w:val="center"/>
          </w:tcPr>
          <w:p w14:paraId="0C2DF87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V=8m³</w:t>
            </w:r>
          </w:p>
        </w:tc>
        <w:tc>
          <w:tcPr>
            <w:tcW w:w="431" w:type="pct"/>
            <w:vAlign w:val="center"/>
          </w:tcPr>
          <w:p w14:paraId="7BF4D9C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3B5DB7C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53A6C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41D4AEDF">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44</w:t>
            </w:r>
          </w:p>
        </w:tc>
        <w:tc>
          <w:tcPr>
            <w:tcW w:w="1559" w:type="pct"/>
            <w:vAlign w:val="center"/>
          </w:tcPr>
          <w:p w14:paraId="7B9124E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分油塔塔身</w:t>
            </w:r>
          </w:p>
        </w:tc>
        <w:tc>
          <w:tcPr>
            <w:tcW w:w="1604" w:type="pct"/>
            <w:vAlign w:val="center"/>
          </w:tcPr>
          <w:p w14:paraId="5295D51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Φ426*10*10404</w:t>
            </w:r>
          </w:p>
        </w:tc>
        <w:tc>
          <w:tcPr>
            <w:tcW w:w="431" w:type="pct"/>
            <w:vAlign w:val="center"/>
          </w:tcPr>
          <w:p w14:paraId="5E63BB9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25CD3BC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16082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409B0995">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w:t>
            </w:r>
          </w:p>
        </w:tc>
        <w:tc>
          <w:tcPr>
            <w:tcW w:w="1559" w:type="pct"/>
            <w:vAlign w:val="center"/>
          </w:tcPr>
          <w:p w14:paraId="6E64B99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F142b成品计量槽</w:t>
            </w:r>
          </w:p>
        </w:tc>
        <w:tc>
          <w:tcPr>
            <w:tcW w:w="1604" w:type="pct"/>
            <w:vAlign w:val="center"/>
          </w:tcPr>
          <w:p w14:paraId="2DB5EE6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Φ1200*1600   V=2.2 m³</w:t>
            </w:r>
          </w:p>
        </w:tc>
        <w:tc>
          <w:tcPr>
            <w:tcW w:w="431" w:type="pct"/>
            <w:vAlign w:val="center"/>
          </w:tcPr>
          <w:p w14:paraId="3F21A83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3208367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486EE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5EF21B9D">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46</w:t>
            </w:r>
          </w:p>
        </w:tc>
        <w:tc>
          <w:tcPr>
            <w:tcW w:w="1559" w:type="pct"/>
            <w:vAlign w:val="center"/>
          </w:tcPr>
          <w:p w14:paraId="2854E1A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HF计量槽（小）</w:t>
            </w:r>
          </w:p>
        </w:tc>
        <w:tc>
          <w:tcPr>
            <w:tcW w:w="1604" w:type="pct"/>
            <w:vAlign w:val="center"/>
          </w:tcPr>
          <w:p w14:paraId="7502C04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V=0.88 m³</w:t>
            </w:r>
          </w:p>
        </w:tc>
        <w:tc>
          <w:tcPr>
            <w:tcW w:w="431" w:type="pct"/>
            <w:vAlign w:val="center"/>
          </w:tcPr>
          <w:p w14:paraId="5D44AA6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171661F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43866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52B199B5">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47</w:t>
            </w:r>
          </w:p>
        </w:tc>
        <w:tc>
          <w:tcPr>
            <w:tcW w:w="1559" w:type="pct"/>
            <w:vAlign w:val="center"/>
          </w:tcPr>
          <w:p w14:paraId="3006E1E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（四氯化钛）催化剂计量槽</w:t>
            </w:r>
          </w:p>
        </w:tc>
        <w:tc>
          <w:tcPr>
            <w:tcW w:w="1604" w:type="pct"/>
            <w:vAlign w:val="center"/>
          </w:tcPr>
          <w:p w14:paraId="2970B25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V=0.86m³</w:t>
            </w:r>
          </w:p>
        </w:tc>
        <w:tc>
          <w:tcPr>
            <w:tcW w:w="431" w:type="pct"/>
            <w:vAlign w:val="center"/>
          </w:tcPr>
          <w:p w14:paraId="6E18DC6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44DC891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59E47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2F08D10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48</w:t>
            </w:r>
          </w:p>
        </w:tc>
        <w:tc>
          <w:tcPr>
            <w:tcW w:w="1559" w:type="pct"/>
            <w:vAlign w:val="center"/>
          </w:tcPr>
          <w:p w14:paraId="3D1D689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逼蒸塔</w:t>
            </w:r>
          </w:p>
        </w:tc>
        <w:tc>
          <w:tcPr>
            <w:tcW w:w="1604" w:type="pct"/>
            <w:vAlign w:val="center"/>
          </w:tcPr>
          <w:p w14:paraId="68360EF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V=2.7m³</w:t>
            </w:r>
          </w:p>
        </w:tc>
        <w:tc>
          <w:tcPr>
            <w:tcW w:w="431" w:type="pct"/>
            <w:vAlign w:val="center"/>
          </w:tcPr>
          <w:p w14:paraId="3B601D6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678A285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11D8A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1970E5E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49</w:t>
            </w:r>
          </w:p>
        </w:tc>
        <w:tc>
          <w:tcPr>
            <w:tcW w:w="1559" w:type="pct"/>
            <w:vAlign w:val="center"/>
          </w:tcPr>
          <w:p w14:paraId="12D2BEE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回收料受槽</w:t>
            </w:r>
          </w:p>
        </w:tc>
        <w:tc>
          <w:tcPr>
            <w:tcW w:w="1604" w:type="pct"/>
            <w:vAlign w:val="center"/>
          </w:tcPr>
          <w:p w14:paraId="4524810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V=5 m³</w:t>
            </w:r>
          </w:p>
        </w:tc>
        <w:tc>
          <w:tcPr>
            <w:tcW w:w="431" w:type="pct"/>
            <w:vAlign w:val="center"/>
          </w:tcPr>
          <w:p w14:paraId="3531E9C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1CA1455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4C383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2F7332F8">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1559" w:type="pct"/>
            <w:vAlign w:val="center"/>
          </w:tcPr>
          <w:p w14:paraId="57AEEF8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事故应急槽</w:t>
            </w:r>
          </w:p>
        </w:tc>
        <w:tc>
          <w:tcPr>
            <w:tcW w:w="1604" w:type="pct"/>
            <w:vAlign w:val="center"/>
          </w:tcPr>
          <w:p w14:paraId="5BE4443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V=12.5 m³</w:t>
            </w:r>
          </w:p>
        </w:tc>
        <w:tc>
          <w:tcPr>
            <w:tcW w:w="431" w:type="pct"/>
            <w:vAlign w:val="center"/>
          </w:tcPr>
          <w:p w14:paraId="5CCB979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5EDCA72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029DB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64A89CED">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51</w:t>
            </w:r>
          </w:p>
        </w:tc>
        <w:tc>
          <w:tcPr>
            <w:tcW w:w="1559" w:type="pct"/>
            <w:vAlign w:val="center"/>
          </w:tcPr>
          <w:p w14:paraId="12F7965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冷却塔釜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身</w:t>
            </w:r>
          </w:p>
        </w:tc>
        <w:tc>
          <w:tcPr>
            <w:tcW w:w="1604" w:type="pct"/>
            <w:vAlign w:val="center"/>
          </w:tcPr>
          <w:p w14:paraId="50CCC2A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身Φ500*15000　　</w:t>
            </w:r>
          </w:p>
          <w:p w14:paraId="60144F7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釜Φ1000*3400</w:t>
            </w:r>
          </w:p>
        </w:tc>
        <w:tc>
          <w:tcPr>
            <w:tcW w:w="431" w:type="pct"/>
            <w:vAlign w:val="center"/>
          </w:tcPr>
          <w:p w14:paraId="67D6258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33E7FBF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0EA52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33E6F16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52</w:t>
            </w:r>
          </w:p>
        </w:tc>
        <w:tc>
          <w:tcPr>
            <w:tcW w:w="1559" w:type="pct"/>
            <w:vAlign w:val="center"/>
          </w:tcPr>
          <w:p w14:paraId="2A82CE8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盐酸大贮槽</w:t>
            </w:r>
          </w:p>
        </w:tc>
        <w:tc>
          <w:tcPr>
            <w:tcW w:w="1604" w:type="pct"/>
            <w:vAlign w:val="center"/>
          </w:tcPr>
          <w:p w14:paraId="0220484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V=200 m³</w:t>
            </w:r>
          </w:p>
        </w:tc>
        <w:tc>
          <w:tcPr>
            <w:tcW w:w="431" w:type="pct"/>
            <w:vAlign w:val="center"/>
          </w:tcPr>
          <w:p w14:paraId="060DBF3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753B352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玻璃钢</w:t>
            </w:r>
          </w:p>
        </w:tc>
      </w:tr>
      <w:tr w14:paraId="6B76C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61612740">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p>
        </w:tc>
        <w:tc>
          <w:tcPr>
            <w:tcW w:w="1559" w:type="pct"/>
            <w:vAlign w:val="center"/>
          </w:tcPr>
          <w:p w14:paraId="070B47B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脱气回收塔</w:t>
            </w:r>
          </w:p>
        </w:tc>
        <w:tc>
          <w:tcPr>
            <w:tcW w:w="1604" w:type="pct"/>
            <w:vAlign w:val="center"/>
          </w:tcPr>
          <w:p w14:paraId="7A04664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V=1.45 m³</w:t>
            </w:r>
          </w:p>
        </w:tc>
        <w:tc>
          <w:tcPr>
            <w:tcW w:w="431" w:type="pct"/>
            <w:vAlign w:val="center"/>
          </w:tcPr>
          <w:p w14:paraId="593F1F4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0498D57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6AB2D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2D4AAA2E">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w:t>
            </w:r>
          </w:p>
        </w:tc>
        <w:tc>
          <w:tcPr>
            <w:tcW w:w="1559" w:type="pct"/>
            <w:vAlign w:val="center"/>
          </w:tcPr>
          <w:p w14:paraId="06DB55F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精馏回收塔</w:t>
            </w:r>
          </w:p>
        </w:tc>
        <w:tc>
          <w:tcPr>
            <w:tcW w:w="1604" w:type="pct"/>
            <w:vAlign w:val="center"/>
          </w:tcPr>
          <w:p w14:paraId="43C2AC7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V=1.45 m³</w:t>
            </w:r>
          </w:p>
        </w:tc>
        <w:tc>
          <w:tcPr>
            <w:tcW w:w="431" w:type="pct"/>
            <w:vAlign w:val="center"/>
          </w:tcPr>
          <w:p w14:paraId="797BC93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7C2B723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76596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42CC64B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1559" w:type="pct"/>
            <w:vAlign w:val="center"/>
          </w:tcPr>
          <w:p w14:paraId="0227987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浓盐酸循环槽</w:t>
            </w:r>
          </w:p>
        </w:tc>
        <w:tc>
          <w:tcPr>
            <w:tcW w:w="1604" w:type="pct"/>
            <w:vAlign w:val="center"/>
          </w:tcPr>
          <w:p w14:paraId="0D60047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V=5 m³</w:t>
            </w:r>
          </w:p>
        </w:tc>
        <w:tc>
          <w:tcPr>
            <w:tcW w:w="431" w:type="pct"/>
            <w:vAlign w:val="center"/>
          </w:tcPr>
          <w:p w14:paraId="587D17C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2E4F508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钢衬PE</w:t>
            </w:r>
          </w:p>
        </w:tc>
      </w:tr>
      <w:tr w14:paraId="4CDF8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3039429F">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w:t>
            </w:r>
          </w:p>
        </w:tc>
        <w:tc>
          <w:tcPr>
            <w:tcW w:w="1559" w:type="pct"/>
            <w:vAlign w:val="center"/>
          </w:tcPr>
          <w:p w14:paraId="1604FE9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稀盐酸循环槽</w:t>
            </w:r>
          </w:p>
        </w:tc>
        <w:tc>
          <w:tcPr>
            <w:tcW w:w="1604" w:type="pct"/>
            <w:vAlign w:val="center"/>
          </w:tcPr>
          <w:p w14:paraId="38A3355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V=5.2 m³</w:t>
            </w:r>
          </w:p>
        </w:tc>
        <w:tc>
          <w:tcPr>
            <w:tcW w:w="431" w:type="pct"/>
            <w:vAlign w:val="center"/>
          </w:tcPr>
          <w:p w14:paraId="769B693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1CE5FF7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钢衬PE</w:t>
            </w:r>
          </w:p>
        </w:tc>
      </w:tr>
      <w:tr w14:paraId="1D495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51877B5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57</w:t>
            </w:r>
          </w:p>
        </w:tc>
        <w:tc>
          <w:tcPr>
            <w:tcW w:w="1559" w:type="pct"/>
            <w:vAlign w:val="center"/>
          </w:tcPr>
          <w:p w14:paraId="2380602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反应回收HF水洗塔</w:t>
            </w:r>
          </w:p>
        </w:tc>
        <w:tc>
          <w:tcPr>
            <w:tcW w:w="1604" w:type="pct"/>
            <w:vAlign w:val="center"/>
          </w:tcPr>
          <w:p w14:paraId="29649C6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Φ400*5000</w:t>
            </w:r>
          </w:p>
        </w:tc>
        <w:tc>
          <w:tcPr>
            <w:tcW w:w="431" w:type="pct"/>
            <w:vAlign w:val="center"/>
          </w:tcPr>
          <w:p w14:paraId="5925432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864" w:type="pct"/>
            <w:vAlign w:val="center"/>
          </w:tcPr>
          <w:p w14:paraId="349009E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聚丙烯</w:t>
            </w:r>
          </w:p>
        </w:tc>
      </w:tr>
      <w:tr w14:paraId="4F878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0C5AD3DB">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58</w:t>
            </w:r>
          </w:p>
        </w:tc>
        <w:tc>
          <w:tcPr>
            <w:tcW w:w="1559" w:type="pct"/>
            <w:vAlign w:val="center"/>
          </w:tcPr>
          <w:p w14:paraId="60C061A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反应回收HF碱洗塔</w:t>
            </w:r>
          </w:p>
        </w:tc>
        <w:tc>
          <w:tcPr>
            <w:tcW w:w="1604" w:type="pct"/>
            <w:vAlign w:val="center"/>
          </w:tcPr>
          <w:p w14:paraId="7C1F90B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Φ400*5000</w:t>
            </w:r>
          </w:p>
        </w:tc>
        <w:tc>
          <w:tcPr>
            <w:tcW w:w="431" w:type="pct"/>
            <w:vAlign w:val="center"/>
          </w:tcPr>
          <w:p w14:paraId="3C67112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0393B00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聚丙烯</w:t>
            </w:r>
          </w:p>
        </w:tc>
      </w:tr>
      <w:tr w14:paraId="03108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1335334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59</w:t>
            </w:r>
          </w:p>
        </w:tc>
        <w:tc>
          <w:tcPr>
            <w:tcW w:w="1559" w:type="pct"/>
            <w:vAlign w:val="center"/>
          </w:tcPr>
          <w:p w14:paraId="6EB6815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1#脱酸回收水、碱洗塔</w:t>
            </w:r>
          </w:p>
        </w:tc>
        <w:tc>
          <w:tcPr>
            <w:tcW w:w="1604" w:type="pct"/>
            <w:vAlign w:val="center"/>
          </w:tcPr>
          <w:p w14:paraId="75165C7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Φ400*5000</w:t>
            </w:r>
          </w:p>
        </w:tc>
        <w:tc>
          <w:tcPr>
            <w:tcW w:w="431" w:type="pct"/>
            <w:vAlign w:val="center"/>
          </w:tcPr>
          <w:p w14:paraId="1DC000C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864" w:type="pct"/>
            <w:vAlign w:val="center"/>
          </w:tcPr>
          <w:p w14:paraId="4B06A8D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聚丙烯</w:t>
            </w:r>
          </w:p>
        </w:tc>
      </w:tr>
      <w:tr w14:paraId="0B2F0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05FC1105">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1559" w:type="pct"/>
            <w:vAlign w:val="center"/>
          </w:tcPr>
          <w:p w14:paraId="0BD0B6B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2#脱酸回收水洗塔</w:t>
            </w:r>
          </w:p>
        </w:tc>
        <w:tc>
          <w:tcPr>
            <w:tcW w:w="1604" w:type="pct"/>
            <w:vAlign w:val="center"/>
          </w:tcPr>
          <w:p w14:paraId="690F295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Φ400*5000</w:t>
            </w:r>
          </w:p>
        </w:tc>
        <w:tc>
          <w:tcPr>
            <w:tcW w:w="431" w:type="pct"/>
            <w:vAlign w:val="center"/>
          </w:tcPr>
          <w:p w14:paraId="1F9C4B9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52826B8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聚丙烯</w:t>
            </w:r>
          </w:p>
        </w:tc>
      </w:tr>
      <w:tr w14:paraId="3293D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3403B4BA">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61</w:t>
            </w:r>
          </w:p>
        </w:tc>
        <w:tc>
          <w:tcPr>
            <w:tcW w:w="1559" w:type="pct"/>
            <w:vAlign w:val="center"/>
          </w:tcPr>
          <w:p w14:paraId="2D48971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脱偏回收碱洗塔</w:t>
            </w:r>
          </w:p>
        </w:tc>
        <w:tc>
          <w:tcPr>
            <w:tcW w:w="1604" w:type="pct"/>
            <w:vAlign w:val="center"/>
          </w:tcPr>
          <w:p w14:paraId="3B80777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Φ400*5000</w:t>
            </w:r>
          </w:p>
        </w:tc>
        <w:tc>
          <w:tcPr>
            <w:tcW w:w="431" w:type="pct"/>
            <w:vAlign w:val="center"/>
          </w:tcPr>
          <w:p w14:paraId="2B31B38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42C94AC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聚丙烯</w:t>
            </w:r>
          </w:p>
        </w:tc>
      </w:tr>
      <w:tr w14:paraId="05BBA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5B7E031B">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559" w:type="pct"/>
            <w:vAlign w:val="center"/>
          </w:tcPr>
          <w:p w14:paraId="3C22A42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液碱槽</w:t>
            </w:r>
          </w:p>
        </w:tc>
        <w:tc>
          <w:tcPr>
            <w:tcW w:w="1604" w:type="pct"/>
            <w:vAlign w:val="center"/>
          </w:tcPr>
          <w:p w14:paraId="7E969E3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Φ2200×3500</w:t>
            </w:r>
          </w:p>
        </w:tc>
        <w:tc>
          <w:tcPr>
            <w:tcW w:w="431" w:type="pct"/>
            <w:vAlign w:val="center"/>
          </w:tcPr>
          <w:p w14:paraId="3BB2EBC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032E144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265BE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640AF80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63</w:t>
            </w:r>
          </w:p>
        </w:tc>
        <w:tc>
          <w:tcPr>
            <w:tcW w:w="1559" w:type="pct"/>
            <w:vAlign w:val="center"/>
          </w:tcPr>
          <w:p w14:paraId="638975F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盐酸槽</w:t>
            </w:r>
          </w:p>
        </w:tc>
        <w:tc>
          <w:tcPr>
            <w:tcW w:w="1604" w:type="pct"/>
            <w:vAlign w:val="center"/>
          </w:tcPr>
          <w:p w14:paraId="48B1DA5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5.2 m³</w:t>
            </w:r>
          </w:p>
        </w:tc>
        <w:tc>
          <w:tcPr>
            <w:tcW w:w="431" w:type="pct"/>
            <w:vAlign w:val="center"/>
          </w:tcPr>
          <w:p w14:paraId="1893BBA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64" w:type="pct"/>
            <w:vAlign w:val="center"/>
          </w:tcPr>
          <w:p w14:paraId="6856065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钢衬PE</w:t>
            </w:r>
          </w:p>
        </w:tc>
      </w:tr>
      <w:tr w14:paraId="6CAF1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7C27CB66">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64</w:t>
            </w:r>
          </w:p>
        </w:tc>
        <w:tc>
          <w:tcPr>
            <w:tcW w:w="1559" w:type="pct"/>
            <w:vAlign w:val="center"/>
          </w:tcPr>
          <w:p w14:paraId="663422C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F142b回收槽</w:t>
            </w:r>
          </w:p>
        </w:tc>
        <w:tc>
          <w:tcPr>
            <w:tcW w:w="1604" w:type="pct"/>
            <w:vAlign w:val="center"/>
          </w:tcPr>
          <w:p w14:paraId="0C587B9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Φ1200*14*2914  V=3m³</w:t>
            </w:r>
          </w:p>
        </w:tc>
        <w:tc>
          <w:tcPr>
            <w:tcW w:w="431" w:type="pct"/>
            <w:vAlign w:val="center"/>
          </w:tcPr>
          <w:p w14:paraId="5157B92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7C9F8A4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6F671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2D66270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559" w:type="pct"/>
            <w:vAlign w:val="center"/>
          </w:tcPr>
          <w:p w14:paraId="14F431F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回收塔</w:t>
            </w:r>
          </w:p>
        </w:tc>
        <w:tc>
          <w:tcPr>
            <w:tcW w:w="1604" w:type="pct"/>
            <w:vAlign w:val="center"/>
          </w:tcPr>
          <w:p w14:paraId="3561847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Φ325×10277</w:t>
            </w:r>
          </w:p>
        </w:tc>
        <w:tc>
          <w:tcPr>
            <w:tcW w:w="431" w:type="pct"/>
            <w:vAlign w:val="center"/>
          </w:tcPr>
          <w:p w14:paraId="74083D0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1D5B65E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42AA7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3264CAF2">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66</w:t>
            </w:r>
          </w:p>
        </w:tc>
        <w:tc>
          <w:tcPr>
            <w:tcW w:w="1559" w:type="pct"/>
            <w:vAlign w:val="center"/>
          </w:tcPr>
          <w:p w14:paraId="763C1D7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回收塔釜</w:t>
            </w:r>
          </w:p>
        </w:tc>
        <w:tc>
          <w:tcPr>
            <w:tcW w:w="1604" w:type="pct"/>
            <w:vAlign w:val="center"/>
          </w:tcPr>
          <w:p w14:paraId="479CB04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Φ1100*12*2482    V=2.1m³</w:t>
            </w:r>
          </w:p>
        </w:tc>
        <w:tc>
          <w:tcPr>
            <w:tcW w:w="431" w:type="pct"/>
            <w:vAlign w:val="center"/>
          </w:tcPr>
          <w:p w14:paraId="504612F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5F5B213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碳钢</w:t>
            </w:r>
          </w:p>
        </w:tc>
      </w:tr>
      <w:tr w14:paraId="4316F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765ED0D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67</w:t>
            </w:r>
          </w:p>
        </w:tc>
        <w:tc>
          <w:tcPr>
            <w:tcW w:w="1559" w:type="pct"/>
            <w:vAlign w:val="center"/>
          </w:tcPr>
          <w:p w14:paraId="456C719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溴素吸收装置水、碱洗槽</w:t>
            </w:r>
          </w:p>
        </w:tc>
        <w:tc>
          <w:tcPr>
            <w:tcW w:w="1604" w:type="pct"/>
            <w:vAlign w:val="center"/>
          </w:tcPr>
          <w:p w14:paraId="6A894E9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700*1000，</w:t>
            </w:r>
          </w:p>
          <w:p w14:paraId="43FF1E2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Φ1500*6525mm</w:t>
            </w:r>
          </w:p>
        </w:tc>
        <w:tc>
          <w:tcPr>
            <w:tcW w:w="431" w:type="pct"/>
            <w:vAlign w:val="center"/>
          </w:tcPr>
          <w:p w14:paraId="3ED8B14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64" w:type="pct"/>
            <w:vAlign w:val="center"/>
          </w:tcPr>
          <w:p w14:paraId="0B0C5C9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玻璃钢</w:t>
            </w:r>
          </w:p>
        </w:tc>
      </w:tr>
      <w:tr w14:paraId="6EDC7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540" w:type="pct"/>
            <w:vAlign w:val="center"/>
          </w:tcPr>
          <w:p w14:paraId="3ED4454C">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68</w:t>
            </w:r>
          </w:p>
        </w:tc>
        <w:tc>
          <w:tcPr>
            <w:tcW w:w="1559" w:type="pct"/>
            <w:vAlign w:val="center"/>
          </w:tcPr>
          <w:p w14:paraId="0ADDC02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溴素吸收装置塔身</w:t>
            </w:r>
          </w:p>
        </w:tc>
        <w:tc>
          <w:tcPr>
            <w:tcW w:w="1604" w:type="pct"/>
            <w:vAlign w:val="center"/>
          </w:tcPr>
          <w:p w14:paraId="5E04AB1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Φ1500*3790</w:t>
            </w:r>
          </w:p>
        </w:tc>
        <w:tc>
          <w:tcPr>
            <w:tcW w:w="431" w:type="pct"/>
            <w:vAlign w:val="center"/>
          </w:tcPr>
          <w:p w14:paraId="022E1DC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64" w:type="pct"/>
            <w:vAlign w:val="center"/>
          </w:tcPr>
          <w:p w14:paraId="40C2209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玻璃钢</w:t>
            </w:r>
          </w:p>
        </w:tc>
      </w:tr>
    </w:tbl>
    <w:p w14:paraId="05E0BD07">
      <w:pPr>
        <w:pStyle w:val="4"/>
        <w:numPr>
          <w:ilvl w:val="0"/>
          <w:numId w:val="0"/>
        </w:numPr>
        <w:bidi w:val="0"/>
        <w:ind w:leftChars="0"/>
        <w:rPr>
          <w:rFonts w:hint="default" w:ascii="Times New Roman" w:hAnsi="Times New Roman" w:cs="Times New Roman"/>
          <w:color w:val="auto"/>
          <w:highlight w:val="none"/>
        </w:rPr>
      </w:pPr>
      <w:bookmarkStart w:id="29" w:name="_Toc20531"/>
      <w:r>
        <w:rPr>
          <w:rFonts w:hint="default" w:ascii="Times New Roman" w:hAnsi="Times New Roman" w:cs="Times New Roman"/>
          <w:color w:val="auto"/>
          <w:highlight w:val="none"/>
          <w:lang w:val="en-US" w:eastAsia="zh-CN"/>
        </w:rPr>
        <w:t>1.1.5</w:t>
      </w:r>
      <w:r>
        <w:rPr>
          <w:rFonts w:hint="default" w:ascii="Times New Roman" w:hAnsi="Times New Roman" w:cs="Times New Roman"/>
          <w:color w:val="auto"/>
          <w:highlight w:val="none"/>
        </w:rPr>
        <w:t>拆除项目方案</w:t>
      </w:r>
      <w:bookmarkEnd w:id="29"/>
    </w:p>
    <w:p w14:paraId="6037506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本HCFC-141b生产线关闭项目共涉及物料的转运、设备转移备用、设备的破坏处理等，具体拆除方案见</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HCFC-141b生产线拆除方案。</w:t>
      </w:r>
    </w:p>
    <w:p w14:paraId="3E4DF90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本拆除工程严格按照现场管理人员的指挥，按由外向内、由高到低、先易后难原则进行拆除，先拆除电气、仪表等辅助设备，再拆除</w:t>
      </w:r>
      <w:r>
        <w:rPr>
          <w:rFonts w:hint="default" w:ascii="Times New Roman" w:hAnsi="Times New Roman" w:cs="Times New Roman"/>
          <w:color w:val="auto"/>
          <w:highlight w:val="none"/>
          <w:lang w:val="en-US" w:eastAsia="zh-CN"/>
        </w:rPr>
        <w:t>釜、</w:t>
      </w:r>
      <w:r>
        <w:rPr>
          <w:rFonts w:hint="default" w:ascii="Times New Roman" w:hAnsi="Times New Roman" w:cs="Times New Roman"/>
          <w:color w:val="auto"/>
          <w:highlight w:val="none"/>
        </w:rPr>
        <w:t>塔、罐等容器类装置，后拆除管线的作业流程，遵守工厂拆迁施工的管理规定，强化施工队伍的安全意识，加强施工现场的安全管理，提高拆除施工的效率，使拆除工程圆满完成。</w:t>
      </w:r>
    </w:p>
    <w:p w14:paraId="129C243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设备拆除前，将所有设备的保温或保冷材料拆除，拆除的铝皮单独堆放，保温、保冷材料运下装置单独堆放；确认已将管线、设备吹扫置换和清洗，完成后经分析确认后方可组织施工人员进行拆除作业。</w:t>
      </w:r>
    </w:p>
    <w:p w14:paraId="7A2879E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服从现场管理人员的指挥，保证不落一台设备，不留一点隐患。</w:t>
      </w:r>
      <w:r>
        <w:rPr>
          <w:rFonts w:hint="default" w:ascii="Times New Roman" w:hAnsi="Times New Roman" w:cs="Times New Roman"/>
          <w:color w:val="auto"/>
          <w:highlight w:val="none"/>
          <w:lang w:val="en-US" w:eastAsia="zh-CN"/>
        </w:rPr>
        <w:t>详细拆除方案</w:t>
      </w:r>
      <w:r>
        <w:rPr>
          <w:rFonts w:hint="eastAsia" w:cs="Times New Roman"/>
          <w:color w:val="auto"/>
          <w:highlight w:val="none"/>
          <w:lang w:val="en-US" w:eastAsia="zh-CN"/>
        </w:rPr>
        <w:t>如下</w:t>
      </w:r>
      <w:r>
        <w:rPr>
          <w:rFonts w:hint="default" w:ascii="Times New Roman" w:hAnsi="Times New Roman" w:cs="Times New Roman"/>
          <w:color w:val="auto"/>
          <w:highlight w:val="none"/>
          <w:lang w:val="en-US" w:eastAsia="zh-CN"/>
        </w:rPr>
        <w:t>。</w:t>
      </w:r>
    </w:p>
    <w:p w14:paraId="2726B0C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工艺管线的拆除</w:t>
      </w:r>
    </w:p>
    <w:p w14:paraId="1B62325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艺管线的吹洗，由专人落实。考虑到部分管道可能有死角，系统管道吹扫可能有遗漏，且物料的可燃易燃特点，严格控制动火作业，尽量以机械拆除为主，用扳手、锯弓，以及液压剪。支撑管道的钢结构采用解体拆除，所有管道阀门拆除后方可进行。</w:t>
      </w:r>
    </w:p>
    <w:p w14:paraId="01222E3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设备容器的拆除</w:t>
      </w:r>
    </w:p>
    <w:p w14:paraId="2432B24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现场拆除存放和使用化学品的容器，原则上采用整体起吊的施工方法。但对于使用年代较长，吊装可能造成不安全的，可用液压剪进行分割后拆除。</w:t>
      </w:r>
    </w:p>
    <w:p w14:paraId="50882A4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施工前必须经技术人员确认，首先确保容器内无残留化学品的存在，必须进行</w:t>
      </w:r>
      <w:r>
        <w:rPr>
          <w:rFonts w:hint="default" w:ascii="Times New Roman" w:hAnsi="Times New Roman" w:cs="Times New Roman"/>
          <w:color w:val="auto"/>
          <w:highlight w:val="none"/>
          <w:lang w:val="en-US" w:eastAsia="zh-CN"/>
        </w:rPr>
        <w:t>再次</w:t>
      </w:r>
      <w:r>
        <w:rPr>
          <w:rFonts w:hint="default" w:ascii="Times New Roman" w:hAnsi="Times New Roman" w:cs="Times New Roman"/>
          <w:color w:val="auto"/>
          <w:highlight w:val="none"/>
        </w:rPr>
        <w:t>清洗置换。其次根据设备新旧和大小状况，决定是采用整体拆除还是分割拆除，对于原储存易燃易爆物料的贮槽，原则上吊出区域，到固定动火点确认安全措施到位后实施切割。</w:t>
      </w:r>
    </w:p>
    <w:p w14:paraId="3A2E400B">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设备拆除工期计划如下表</w:t>
      </w:r>
      <w:r>
        <w:rPr>
          <w:rFonts w:hint="default" w:ascii="Times New Roman" w:hAnsi="Times New Roman" w:cs="Times New Roman"/>
          <w:color w:val="auto"/>
          <w:highlight w:val="none"/>
          <w:lang w:eastAsia="zh-CN"/>
        </w:rPr>
        <w:t>。</w:t>
      </w:r>
    </w:p>
    <w:p w14:paraId="4805A69B">
      <w:pPr>
        <w:pStyle w:val="4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1.1-1</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各设备的拆除工期计划</w:t>
      </w:r>
      <w:r>
        <w:rPr>
          <w:rFonts w:hint="default" w:ascii="Times New Roman" w:hAnsi="Times New Roman" w:cs="Times New Roman"/>
          <w:color w:val="auto"/>
          <w:highlight w:val="none"/>
          <w:lang w:val="en-US" w:eastAsia="zh-CN"/>
        </w:rPr>
        <w:t>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301"/>
        <w:gridCol w:w="2131"/>
        <w:gridCol w:w="2131"/>
      </w:tblGrid>
      <w:tr w14:paraId="426A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022D7B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3301" w:type="dxa"/>
            <w:vAlign w:val="center"/>
          </w:tcPr>
          <w:p w14:paraId="3EE4E8D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2131" w:type="dxa"/>
            <w:vAlign w:val="center"/>
          </w:tcPr>
          <w:p w14:paraId="5346156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施工工期</w:t>
            </w:r>
          </w:p>
        </w:tc>
        <w:tc>
          <w:tcPr>
            <w:tcW w:w="2131" w:type="dxa"/>
            <w:vAlign w:val="center"/>
          </w:tcPr>
          <w:p w14:paraId="72FCA23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计划施工日期</w:t>
            </w:r>
          </w:p>
        </w:tc>
      </w:tr>
      <w:tr w14:paraId="770C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E00113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301" w:type="dxa"/>
            <w:vAlign w:val="center"/>
          </w:tcPr>
          <w:p w14:paraId="2D5BA4A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设备电气拆除</w:t>
            </w:r>
          </w:p>
        </w:tc>
        <w:tc>
          <w:tcPr>
            <w:tcW w:w="2131" w:type="dxa"/>
            <w:vAlign w:val="center"/>
          </w:tcPr>
          <w:p w14:paraId="712C5EA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0天</w:t>
            </w:r>
          </w:p>
        </w:tc>
        <w:tc>
          <w:tcPr>
            <w:tcW w:w="2131" w:type="dxa"/>
            <w:vAlign w:val="center"/>
          </w:tcPr>
          <w:p w14:paraId="46278BEA">
            <w:pPr>
              <w:pStyle w:val="45"/>
              <w:bidi w:val="0"/>
              <w:rPr>
                <w:rFonts w:hint="default" w:ascii="Times New Roman" w:hAnsi="Times New Roman" w:cs="Times New Roman"/>
                <w:color w:val="auto"/>
                <w:highlight w:val="none"/>
              </w:rPr>
            </w:pPr>
            <w:r>
              <w:rPr>
                <w:rFonts w:hint="eastAsia" w:cs="Times New Roman"/>
                <w:color w:val="auto"/>
                <w:highlight w:val="none"/>
                <w:lang w:val="en-US" w:eastAsia="zh-CN"/>
              </w:rPr>
              <w:t>5-7</w:t>
            </w:r>
            <w:r>
              <w:rPr>
                <w:rFonts w:hint="default" w:ascii="Times New Roman" w:hAnsi="Times New Roman" w:cs="Times New Roman"/>
                <w:color w:val="auto"/>
                <w:highlight w:val="none"/>
              </w:rPr>
              <w:t>月</w:t>
            </w:r>
          </w:p>
        </w:tc>
      </w:tr>
      <w:tr w14:paraId="1860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A98B9E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301" w:type="dxa"/>
            <w:vAlign w:val="center"/>
          </w:tcPr>
          <w:p w14:paraId="3F67817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设备破除</w:t>
            </w:r>
          </w:p>
        </w:tc>
        <w:tc>
          <w:tcPr>
            <w:tcW w:w="2131" w:type="dxa"/>
            <w:vAlign w:val="center"/>
          </w:tcPr>
          <w:p w14:paraId="37819C7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天</w:t>
            </w:r>
          </w:p>
        </w:tc>
        <w:tc>
          <w:tcPr>
            <w:tcW w:w="2131" w:type="dxa"/>
            <w:vAlign w:val="center"/>
          </w:tcPr>
          <w:p w14:paraId="5128AFE3">
            <w:pPr>
              <w:pStyle w:val="45"/>
              <w:bidi w:val="0"/>
              <w:rPr>
                <w:rFonts w:hint="default" w:ascii="Times New Roman" w:hAnsi="Times New Roman" w:cs="Times New Roman"/>
                <w:color w:val="auto"/>
                <w:highlight w:val="none"/>
              </w:rPr>
            </w:pPr>
            <w:r>
              <w:rPr>
                <w:rFonts w:hint="eastAsia" w:cs="Times New Roman"/>
                <w:color w:val="auto"/>
                <w:highlight w:val="none"/>
                <w:lang w:val="en-US" w:eastAsia="zh-CN"/>
              </w:rPr>
              <w:t>8</w:t>
            </w:r>
            <w:r>
              <w:rPr>
                <w:rFonts w:hint="default" w:ascii="Times New Roman" w:hAnsi="Times New Roman" w:cs="Times New Roman"/>
                <w:color w:val="auto"/>
                <w:highlight w:val="none"/>
              </w:rPr>
              <w:t>月</w:t>
            </w:r>
          </w:p>
        </w:tc>
      </w:tr>
      <w:tr w14:paraId="2018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6EE8A2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3301" w:type="dxa"/>
            <w:vAlign w:val="center"/>
          </w:tcPr>
          <w:p w14:paraId="74AA060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工艺管线拆除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仪表动力线路拆除</w:t>
            </w:r>
          </w:p>
        </w:tc>
        <w:tc>
          <w:tcPr>
            <w:tcW w:w="2131" w:type="dxa"/>
            <w:vAlign w:val="center"/>
          </w:tcPr>
          <w:p w14:paraId="391F468D">
            <w:pPr>
              <w:pStyle w:val="45"/>
              <w:bidi w:val="0"/>
              <w:rPr>
                <w:rFonts w:hint="default" w:ascii="Times New Roman" w:hAnsi="Times New Roman" w:cs="Times New Roman"/>
                <w:color w:val="auto"/>
                <w:highlight w:val="none"/>
              </w:rPr>
            </w:pPr>
            <w:r>
              <w:rPr>
                <w:rFonts w:hint="eastAsia" w:cs="Times New Roman"/>
                <w:color w:val="auto"/>
                <w:highlight w:val="none"/>
                <w:lang w:val="en-US" w:eastAsia="zh-CN"/>
              </w:rPr>
              <w:t>6</w:t>
            </w:r>
            <w:r>
              <w:rPr>
                <w:rFonts w:hint="default" w:ascii="Times New Roman" w:hAnsi="Times New Roman" w:cs="Times New Roman"/>
                <w:color w:val="auto"/>
                <w:highlight w:val="none"/>
              </w:rPr>
              <w:t>0天</w:t>
            </w:r>
          </w:p>
        </w:tc>
        <w:tc>
          <w:tcPr>
            <w:tcW w:w="2131" w:type="dxa"/>
            <w:vAlign w:val="center"/>
          </w:tcPr>
          <w:p w14:paraId="1F2013E9">
            <w:pPr>
              <w:pStyle w:val="45"/>
              <w:bidi w:val="0"/>
              <w:rPr>
                <w:rFonts w:hint="default" w:ascii="Times New Roman" w:hAnsi="Times New Roman" w:cs="Times New Roman"/>
                <w:color w:val="auto"/>
                <w:highlight w:val="none"/>
              </w:rPr>
            </w:pPr>
            <w:r>
              <w:rPr>
                <w:rFonts w:hint="eastAsia" w:cs="Times New Roman"/>
                <w:color w:val="auto"/>
                <w:highlight w:val="none"/>
                <w:lang w:val="en-US" w:eastAsia="zh-CN"/>
              </w:rPr>
              <w:t>9-10</w:t>
            </w:r>
            <w:r>
              <w:rPr>
                <w:rFonts w:hint="default" w:ascii="Times New Roman" w:hAnsi="Times New Roman" w:cs="Times New Roman"/>
                <w:color w:val="auto"/>
                <w:highlight w:val="none"/>
              </w:rPr>
              <w:t>月</w:t>
            </w:r>
          </w:p>
        </w:tc>
      </w:tr>
    </w:tbl>
    <w:p w14:paraId="55F4196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本项目业主还应在项目实施之前检查现场设备工况，检查记录表见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w:t>
      </w:r>
      <w:bookmarkStart w:id="30" w:name="_Toc406161965"/>
    </w:p>
    <w:p w14:paraId="1D8F18CB">
      <w:pPr>
        <w:bidi w:val="0"/>
        <w:rPr>
          <w:rFonts w:hint="default" w:ascii="Times New Roman" w:hAnsi="Times New Roman" w:cs="Times New Roman"/>
          <w:color w:val="auto"/>
          <w:highlight w:val="none"/>
        </w:rPr>
      </w:pPr>
    </w:p>
    <w:p w14:paraId="0297FB37">
      <w:pPr>
        <w:bidi w:val="0"/>
        <w:rPr>
          <w:rFonts w:hint="default" w:ascii="Times New Roman" w:hAnsi="Times New Roman" w:cs="Times New Roman"/>
          <w:color w:val="auto"/>
          <w:highlight w:val="none"/>
        </w:rPr>
      </w:pPr>
    </w:p>
    <w:p w14:paraId="3F6ED8DE">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1.1-1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HCFC-141b生产线</w:t>
      </w:r>
      <w:bookmarkEnd w:id="30"/>
      <w:r>
        <w:rPr>
          <w:rFonts w:hint="default" w:ascii="Times New Roman" w:hAnsi="Times New Roman" w:cs="Times New Roman"/>
          <w:color w:val="auto"/>
          <w:highlight w:val="none"/>
        </w:rPr>
        <w:t>拆除前现场清查登记表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306"/>
        <w:gridCol w:w="1306"/>
        <w:gridCol w:w="1306"/>
        <w:gridCol w:w="1311"/>
        <w:gridCol w:w="2218"/>
      </w:tblGrid>
      <w:tr w14:paraId="4CD0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pct"/>
            <w:vAlign w:val="center"/>
          </w:tcPr>
          <w:p w14:paraId="1499AC1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766" w:type="pct"/>
            <w:vAlign w:val="center"/>
          </w:tcPr>
          <w:p w14:paraId="382EC6A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检查时间</w:t>
            </w:r>
          </w:p>
        </w:tc>
        <w:tc>
          <w:tcPr>
            <w:tcW w:w="766" w:type="pct"/>
            <w:tcBorders>
              <w:right w:val="single" w:color="auto" w:sz="4" w:space="0"/>
            </w:tcBorders>
            <w:vAlign w:val="center"/>
          </w:tcPr>
          <w:p w14:paraId="6B73CCF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检查人员</w:t>
            </w:r>
          </w:p>
        </w:tc>
        <w:tc>
          <w:tcPr>
            <w:tcW w:w="766" w:type="pct"/>
            <w:tcBorders>
              <w:top w:val="single" w:color="auto" w:sz="4" w:space="0"/>
              <w:left w:val="single" w:color="auto" w:sz="4" w:space="0"/>
              <w:bottom w:val="single" w:color="auto" w:sz="4" w:space="0"/>
              <w:right w:val="single" w:color="auto" w:sz="4" w:space="0"/>
            </w:tcBorders>
            <w:vAlign w:val="center"/>
          </w:tcPr>
          <w:p w14:paraId="58D94DB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检查项目</w:t>
            </w:r>
          </w:p>
        </w:tc>
        <w:tc>
          <w:tcPr>
            <w:tcW w:w="768" w:type="pct"/>
            <w:tcBorders>
              <w:left w:val="single" w:color="auto" w:sz="4" w:space="0"/>
            </w:tcBorders>
            <w:vAlign w:val="center"/>
          </w:tcPr>
          <w:p w14:paraId="42FA4DC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检查记录</w:t>
            </w:r>
          </w:p>
        </w:tc>
        <w:tc>
          <w:tcPr>
            <w:tcW w:w="1300" w:type="pct"/>
            <w:vAlign w:val="center"/>
          </w:tcPr>
          <w:p w14:paraId="7893A3B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检查结论及应对方法</w:t>
            </w:r>
          </w:p>
        </w:tc>
      </w:tr>
      <w:tr w14:paraId="47E9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pct"/>
            <w:vAlign w:val="center"/>
          </w:tcPr>
          <w:p w14:paraId="5A855909">
            <w:pPr>
              <w:pStyle w:val="45"/>
              <w:bidi w:val="0"/>
              <w:rPr>
                <w:rFonts w:hint="default" w:ascii="Times New Roman" w:hAnsi="Times New Roman" w:cs="Times New Roman"/>
                <w:color w:val="auto"/>
                <w:highlight w:val="none"/>
              </w:rPr>
            </w:pPr>
          </w:p>
        </w:tc>
        <w:tc>
          <w:tcPr>
            <w:tcW w:w="766" w:type="pct"/>
            <w:vAlign w:val="center"/>
          </w:tcPr>
          <w:p w14:paraId="3782532D">
            <w:pPr>
              <w:pStyle w:val="45"/>
              <w:bidi w:val="0"/>
              <w:rPr>
                <w:rFonts w:hint="default" w:ascii="Times New Roman" w:hAnsi="Times New Roman" w:cs="Times New Roman"/>
                <w:color w:val="auto"/>
                <w:highlight w:val="none"/>
              </w:rPr>
            </w:pPr>
          </w:p>
        </w:tc>
        <w:tc>
          <w:tcPr>
            <w:tcW w:w="766" w:type="pct"/>
            <w:vAlign w:val="center"/>
          </w:tcPr>
          <w:p w14:paraId="27BDEEBF">
            <w:pPr>
              <w:pStyle w:val="45"/>
              <w:bidi w:val="0"/>
              <w:rPr>
                <w:rFonts w:hint="default" w:ascii="Times New Roman" w:hAnsi="Times New Roman" w:cs="Times New Roman"/>
                <w:color w:val="auto"/>
                <w:highlight w:val="none"/>
              </w:rPr>
            </w:pPr>
          </w:p>
        </w:tc>
        <w:tc>
          <w:tcPr>
            <w:tcW w:w="766" w:type="pct"/>
            <w:tcBorders>
              <w:top w:val="single" w:color="auto" w:sz="4" w:space="0"/>
              <w:bottom w:val="single" w:color="auto" w:sz="4" w:space="0"/>
            </w:tcBorders>
            <w:vAlign w:val="center"/>
          </w:tcPr>
          <w:p w14:paraId="6E30C610">
            <w:pPr>
              <w:pStyle w:val="45"/>
              <w:bidi w:val="0"/>
              <w:rPr>
                <w:rFonts w:hint="default" w:ascii="Times New Roman" w:hAnsi="Times New Roman" w:cs="Times New Roman"/>
                <w:color w:val="auto"/>
                <w:highlight w:val="none"/>
              </w:rPr>
            </w:pPr>
          </w:p>
        </w:tc>
        <w:tc>
          <w:tcPr>
            <w:tcW w:w="768" w:type="pct"/>
            <w:vAlign w:val="center"/>
          </w:tcPr>
          <w:p w14:paraId="7D244725">
            <w:pPr>
              <w:pStyle w:val="45"/>
              <w:bidi w:val="0"/>
              <w:rPr>
                <w:rFonts w:hint="default" w:ascii="Times New Roman" w:hAnsi="Times New Roman" w:cs="Times New Roman"/>
                <w:color w:val="auto"/>
                <w:highlight w:val="none"/>
              </w:rPr>
            </w:pPr>
          </w:p>
        </w:tc>
        <w:tc>
          <w:tcPr>
            <w:tcW w:w="1300" w:type="pct"/>
            <w:vAlign w:val="center"/>
          </w:tcPr>
          <w:p w14:paraId="2CE37B77">
            <w:pPr>
              <w:pStyle w:val="45"/>
              <w:bidi w:val="0"/>
              <w:rPr>
                <w:rFonts w:hint="default" w:ascii="Times New Roman" w:hAnsi="Times New Roman" w:cs="Times New Roman"/>
                <w:color w:val="auto"/>
                <w:highlight w:val="none"/>
              </w:rPr>
            </w:pPr>
          </w:p>
        </w:tc>
      </w:tr>
      <w:tr w14:paraId="39EB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pct"/>
            <w:vAlign w:val="center"/>
          </w:tcPr>
          <w:p w14:paraId="4DA56882">
            <w:pPr>
              <w:pStyle w:val="45"/>
              <w:bidi w:val="0"/>
              <w:rPr>
                <w:rFonts w:hint="default" w:ascii="Times New Roman" w:hAnsi="Times New Roman" w:cs="Times New Roman"/>
                <w:color w:val="auto"/>
                <w:highlight w:val="none"/>
              </w:rPr>
            </w:pPr>
          </w:p>
        </w:tc>
        <w:tc>
          <w:tcPr>
            <w:tcW w:w="766" w:type="pct"/>
            <w:vAlign w:val="center"/>
          </w:tcPr>
          <w:p w14:paraId="0E1F9B1A">
            <w:pPr>
              <w:pStyle w:val="45"/>
              <w:bidi w:val="0"/>
              <w:rPr>
                <w:rFonts w:hint="default" w:ascii="Times New Roman" w:hAnsi="Times New Roman" w:cs="Times New Roman"/>
                <w:color w:val="auto"/>
                <w:highlight w:val="none"/>
              </w:rPr>
            </w:pPr>
          </w:p>
        </w:tc>
        <w:tc>
          <w:tcPr>
            <w:tcW w:w="766" w:type="pct"/>
            <w:vAlign w:val="center"/>
          </w:tcPr>
          <w:p w14:paraId="7924A67B">
            <w:pPr>
              <w:pStyle w:val="45"/>
              <w:bidi w:val="0"/>
              <w:rPr>
                <w:rFonts w:hint="default" w:ascii="Times New Roman" w:hAnsi="Times New Roman" w:cs="Times New Roman"/>
                <w:color w:val="auto"/>
                <w:highlight w:val="none"/>
              </w:rPr>
            </w:pPr>
          </w:p>
        </w:tc>
        <w:tc>
          <w:tcPr>
            <w:tcW w:w="766" w:type="pct"/>
            <w:tcBorders>
              <w:top w:val="single" w:color="auto" w:sz="4" w:space="0"/>
              <w:bottom w:val="single" w:color="auto" w:sz="4" w:space="0"/>
            </w:tcBorders>
            <w:vAlign w:val="center"/>
          </w:tcPr>
          <w:p w14:paraId="4BF84C76">
            <w:pPr>
              <w:pStyle w:val="45"/>
              <w:bidi w:val="0"/>
              <w:rPr>
                <w:rFonts w:hint="default" w:ascii="Times New Roman" w:hAnsi="Times New Roman" w:cs="Times New Roman"/>
                <w:color w:val="auto"/>
                <w:highlight w:val="none"/>
              </w:rPr>
            </w:pPr>
          </w:p>
        </w:tc>
        <w:tc>
          <w:tcPr>
            <w:tcW w:w="768" w:type="pct"/>
            <w:vAlign w:val="center"/>
          </w:tcPr>
          <w:p w14:paraId="1B96AE42">
            <w:pPr>
              <w:pStyle w:val="45"/>
              <w:bidi w:val="0"/>
              <w:rPr>
                <w:rFonts w:hint="default" w:ascii="Times New Roman" w:hAnsi="Times New Roman" w:cs="Times New Roman"/>
                <w:color w:val="auto"/>
                <w:highlight w:val="none"/>
              </w:rPr>
            </w:pPr>
          </w:p>
        </w:tc>
        <w:tc>
          <w:tcPr>
            <w:tcW w:w="1300" w:type="pct"/>
            <w:vAlign w:val="center"/>
          </w:tcPr>
          <w:p w14:paraId="5F63804F">
            <w:pPr>
              <w:pStyle w:val="45"/>
              <w:bidi w:val="0"/>
              <w:rPr>
                <w:rFonts w:hint="default" w:ascii="Times New Roman" w:hAnsi="Times New Roman" w:cs="Times New Roman"/>
                <w:color w:val="auto"/>
                <w:highlight w:val="none"/>
              </w:rPr>
            </w:pPr>
          </w:p>
        </w:tc>
      </w:tr>
      <w:tr w14:paraId="4936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pct"/>
            <w:vAlign w:val="center"/>
          </w:tcPr>
          <w:p w14:paraId="59FB74B4">
            <w:pPr>
              <w:pStyle w:val="45"/>
              <w:bidi w:val="0"/>
              <w:rPr>
                <w:rFonts w:hint="default" w:ascii="Times New Roman" w:hAnsi="Times New Roman" w:cs="Times New Roman"/>
                <w:color w:val="auto"/>
                <w:highlight w:val="none"/>
              </w:rPr>
            </w:pPr>
          </w:p>
        </w:tc>
        <w:tc>
          <w:tcPr>
            <w:tcW w:w="766" w:type="pct"/>
            <w:vAlign w:val="center"/>
          </w:tcPr>
          <w:p w14:paraId="48F18E01">
            <w:pPr>
              <w:pStyle w:val="45"/>
              <w:bidi w:val="0"/>
              <w:rPr>
                <w:rFonts w:hint="default" w:ascii="Times New Roman" w:hAnsi="Times New Roman" w:cs="Times New Roman"/>
                <w:color w:val="auto"/>
                <w:highlight w:val="none"/>
              </w:rPr>
            </w:pPr>
          </w:p>
        </w:tc>
        <w:tc>
          <w:tcPr>
            <w:tcW w:w="766" w:type="pct"/>
            <w:vAlign w:val="center"/>
          </w:tcPr>
          <w:p w14:paraId="76399D1C">
            <w:pPr>
              <w:pStyle w:val="45"/>
              <w:bidi w:val="0"/>
              <w:rPr>
                <w:rFonts w:hint="default" w:ascii="Times New Roman" w:hAnsi="Times New Roman" w:cs="Times New Roman"/>
                <w:color w:val="auto"/>
                <w:highlight w:val="none"/>
              </w:rPr>
            </w:pPr>
          </w:p>
        </w:tc>
        <w:tc>
          <w:tcPr>
            <w:tcW w:w="766" w:type="pct"/>
            <w:tcBorders>
              <w:top w:val="single" w:color="auto" w:sz="4" w:space="0"/>
              <w:bottom w:val="single" w:color="auto" w:sz="4" w:space="0"/>
            </w:tcBorders>
            <w:vAlign w:val="center"/>
          </w:tcPr>
          <w:p w14:paraId="5312D7ED">
            <w:pPr>
              <w:pStyle w:val="45"/>
              <w:bidi w:val="0"/>
              <w:rPr>
                <w:rFonts w:hint="default" w:ascii="Times New Roman" w:hAnsi="Times New Roman" w:cs="Times New Roman"/>
                <w:color w:val="auto"/>
                <w:highlight w:val="none"/>
              </w:rPr>
            </w:pPr>
          </w:p>
        </w:tc>
        <w:tc>
          <w:tcPr>
            <w:tcW w:w="768" w:type="pct"/>
            <w:vAlign w:val="center"/>
          </w:tcPr>
          <w:p w14:paraId="70BDBAB0">
            <w:pPr>
              <w:pStyle w:val="45"/>
              <w:bidi w:val="0"/>
              <w:rPr>
                <w:rFonts w:hint="default" w:ascii="Times New Roman" w:hAnsi="Times New Roman" w:cs="Times New Roman"/>
                <w:color w:val="auto"/>
                <w:highlight w:val="none"/>
              </w:rPr>
            </w:pPr>
          </w:p>
        </w:tc>
        <w:tc>
          <w:tcPr>
            <w:tcW w:w="1300" w:type="pct"/>
            <w:vAlign w:val="center"/>
          </w:tcPr>
          <w:p w14:paraId="6E0E6BA9">
            <w:pPr>
              <w:pStyle w:val="45"/>
              <w:bidi w:val="0"/>
              <w:rPr>
                <w:rFonts w:hint="default" w:ascii="Times New Roman" w:hAnsi="Times New Roman" w:cs="Times New Roman"/>
                <w:color w:val="auto"/>
                <w:highlight w:val="none"/>
              </w:rPr>
            </w:pPr>
          </w:p>
        </w:tc>
      </w:tr>
      <w:tr w14:paraId="0D4E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pct"/>
            <w:vAlign w:val="center"/>
          </w:tcPr>
          <w:p w14:paraId="27812609">
            <w:pPr>
              <w:pStyle w:val="45"/>
              <w:bidi w:val="0"/>
              <w:rPr>
                <w:rFonts w:hint="default" w:ascii="Times New Roman" w:hAnsi="Times New Roman" w:cs="Times New Roman"/>
                <w:color w:val="auto"/>
                <w:highlight w:val="none"/>
              </w:rPr>
            </w:pPr>
          </w:p>
        </w:tc>
        <w:tc>
          <w:tcPr>
            <w:tcW w:w="766" w:type="pct"/>
            <w:vAlign w:val="center"/>
          </w:tcPr>
          <w:p w14:paraId="7526DF73">
            <w:pPr>
              <w:pStyle w:val="45"/>
              <w:bidi w:val="0"/>
              <w:rPr>
                <w:rFonts w:hint="default" w:ascii="Times New Roman" w:hAnsi="Times New Roman" w:cs="Times New Roman"/>
                <w:color w:val="auto"/>
                <w:highlight w:val="none"/>
              </w:rPr>
            </w:pPr>
          </w:p>
        </w:tc>
        <w:tc>
          <w:tcPr>
            <w:tcW w:w="766" w:type="pct"/>
            <w:vAlign w:val="center"/>
          </w:tcPr>
          <w:p w14:paraId="4C7BA3F5">
            <w:pPr>
              <w:pStyle w:val="45"/>
              <w:bidi w:val="0"/>
              <w:rPr>
                <w:rFonts w:hint="default" w:ascii="Times New Roman" w:hAnsi="Times New Roman" w:cs="Times New Roman"/>
                <w:color w:val="auto"/>
                <w:highlight w:val="none"/>
              </w:rPr>
            </w:pPr>
          </w:p>
        </w:tc>
        <w:tc>
          <w:tcPr>
            <w:tcW w:w="766" w:type="pct"/>
            <w:tcBorders>
              <w:top w:val="single" w:color="auto" w:sz="4" w:space="0"/>
              <w:bottom w:val="single" w:color="auto" w:sz="4" w:space="0"/>
            </w:tcBorders>
            <w:vAlign w:val="center"/>
          </w:tcPr>
          <w:p w14:paraId="7E0867B4">
            <w:pPr>
              <w:pStyle w:val="45"/>
              <w:bidi w:val="0"/>
              <w:rPr>
                <w:rFonts w:hint="default" w:ascii="Times New Roman" w:hAnsi="Times New Roman" w:cs="Times New Roman"/>
                <w:color w:val="auto"/>
                <w:highlight w:val="none"/>
              </w:rPr>
            </w:pPr>
          </w:p>
        </w:tc>
        <w:tc>
          <w:tcPr>
            <w:tcW w:w="768" w:type="pct"/>
            <w:vAlign w:val="center"/>
          </w:tcPr>
          <w:p w14:paraId="5890E3F6">
            <w:pPr>
              <w:pStyle w:val="45"/>
              <w:bidi w:val="0"/>
              <w:rPr>
                <w:rFonts w:hint="default" w:ascii="Times New Roman" w:hAnsi="Times New Roman" w:cs="Times New Roman"/>
                <w:color w:val="auto"/>
                <w:highlight w:val="none"/>
              </w:rPr>
            </w:pPr>
          </w:p>
        </w:tc>
        <w:tc>
          <w:tcPr>
            <w:tcW w:w="1300" w:type="pct"/>
            <w:vAlign w:val="center"/>
          </w:tcPr>
          <w:p w14:paraId="762C4FB2">
            <w:pPr>
              <w:pStyle w:val="45"/>
              <w:bidi w:val="0"/>
              <w:rPr>
                <w:rFonts w:hint="default" w:ascii="Times New Roman" w:hAnsi="Times New Roman" w:cs="Times New Roman"/>
                <w:color w:val="auto"/>
                <w:highlight w:val="none"/>
              </w:rPr>
            </w:pPr>
          </w:p>
        </w:tc>
      </w:tr>
      <w:tr w14:paraId="0FAF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pct"/>
            <w:vAlign w:val="center"/>
          </w:tcPr>
          <w:p w14:paraId="078D91DB">
            <w:pPr>
              <w:pStyle w:val="45"/>
              <w:bidi w:val="0"/>
              <w:rPr>
                <w:rFonts w:hint="default" w:ascii="Times New Roman" w:hAnsi="Times New Roman" w:cs="Times New Roman"/>
                <w:color w:val="auto"/>
                <w:highlight w:val="none"/>
              </w:rPr>
            </w:pPr>
          </w:p>
        </w:tc>
        <w:tc>
          <w:tcPr>
            <w:tcW w:w="766" w:type="pct"/>
            <w:vAlign w:val="center"/>
          </w:tcPr>
          <w:p w14:paraId="3E2FA87F">
            <w:pPr>
              <w:pStyle w:val="45"/>
              <w:bidi w:val="0"/>
              <w:rPr>
                <w:rFonts w:hint="default" w:ascii="Times New Roman" w:hAnsi="Times New Roman" w:cs="Times New Roman"/>
                <w:color w:val="auto"/>
                <w:highlight w:val="none"/>
              </w:rPr>
            </w:pPr>
          </w:p>
        </w:tc>
        <w:tc>
          <w:tcPr>
            <w:tcW w:w="766" w:type="pct"/>
            <w:vAlign w:val="center"/>
          </w:tcPr>
          <w:p w14:paraId="4548D317">
            <w:pPr>
              <w:pStyle w:val="45"/>
              <w:bidi w:val="0"/>
              <w:rPr>
                <w:rFonts w:hint="default" w:ascii="Times New Roman" w:hAnsi="Times New Roman" w:cs="Times New Roman"/>
                <w:color w:val="auto"/>
                <w:highlight w:val="none"/>
              </w:rPr>
            </w:pPr>
          </w:p>
        </w:tc>
        <w:tc>
          <w:tcPr>
            <w:tcW w:w="766" w:type="pct"/>
            <w:tcBorders>
              <w:top w:val="single" w:color="auto" w:sz="4" w:space="0"/>
              <w:bottom w:val="single" w:color="auto" w:sz="4" w:space="0"/>
            </w:tcBorders>
            <w:vAlign w:val="center"/>
          </w:tcPr>
          <w:p w14:paraId="603D71FB">
            <w:pPr>
              <w:pStyle w:val="45"/>
              <w:bidi w:val="0"/>
              <w:rPr>
                <w:rFonts w:hint="default" w:ascii="Times New Roman" w:hAnsi="Times New Roman" w:cs="Times New Roman"/>
                <w:color w:val="auto"/>
                <w:highlight w:val="none"/>
              </w:rPr>
            </w:pPr>
          </w:p>
        </w:tc>
        <w:tc>
          <w:tcPr>
            <w:tcW w:w="768" w:type="pct"/>
            <w:vAlign w:val="center"/>
          </w:tcPr>
          <w:p w14:paraId="515F073D">
            <w:pPr>
              <w:pStyle w:val="45"/>
              <w:bidi w:val="0"/>
              <w:rPr>
                <w:rFonts w:hint="default" w:ascii="Times New Roman" w:hAnsi="Times New Roman" w:cs="Times New Roman"/>
                <w:color w:val="auto"/>
                <w:highlight w:val="none"/>
              </w:rPr>
            </w:pPr>
          </w:p>
        </w:tc>
        <w:tc>
          <w:tcPr>
            <w:tcW w:w="1300" w:type="pct"/>
            <w:vAlign w:val="center"/>
          </w:tcPr>
          <w:p w14:paraId="142386E0">
            <w:pPr>
              <w:pStyle w:val="45"/>
              <w:bidi w:val="0"/>
              <w:rPr>
                <w:rFonts w:hint="default" w:ascii="Times New Roman" w:hAnsi="Times New Roman" w:cs="Times New Roman"/>
                <w:color w:val="auto"/>
                <w:highlight w:val="none"/>
              </w:rPr>
            </w:pPr>
          </w:p>
        </w:tc>
      </w:tr>
      <w:tr w14:paraId="0C4E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pct"/>
            <w:vAlign w:val="center"/>
          </w:tcPr>
          <w:p w14:paraId="3DA82F7C">
            <w:pPr>
              <w:pStyle w:val="45"/>
              <w:bidi w:val="0"/>
              <w:rPr>
                <w:rFonts w:hint="default" w:ascii="Times New Roman" w:hAnsi="Times New Roman" w:cs="Times New Roman"/>
                <w:color w:val="auto"/>
                <w:highlight w:val="none"/>
              </w:rPr>
            </w:pPr>
          </w:p>
        </w:tc>
        <w:tc>
          <w:tcPr>
            <w:tcW w:w="766" w:type="pct"/>
            <w:vAlign w:val="center"/>
          </w:tcPr>
          <w:p w14:paraId="2042FF19">
            <w:pPr>
              <w:pStyle w:val="45"/>
              <w:bidi w:val="0"/>
              <w:rPr>
                <w:rFonts w:hint="default" w:ascii="Times New Roman" w:hAnsi="Times New Roman" w:cs="Times New Roman"/>
                <w:color w:val="auto"/>
                <w:highlight w:val="none"/>
              </w:rPr>
            </w:pPr>
          </w:p>
        </w:tc>
        <w:tc>
          <w:tcPr>
            <w:tcW w:w="766" w:type="pct"/>
            <w:vAlign w:val="center"/>
          </w:tcPr>
          <w:p w14:paraId="77175593">
            <w:pPr>
              <w:pStyle w:val="45"/>
              <w:bidi w:val="0"/>
              <w:rPr>
                <w:rFonts w:hint="default" w:ascii="Times New Roman" w:hAnsi="Times New Roman" w:cs="Times New Roman"/>
                <w:color w:val="auto"/>
                <w:highlight w:val="none"/>
              </w:rPr>
            </w:pPr>
          </w:p>
        </w:tc>
        <w:tc>
          <w:tcPr>
            <w:tcW w:w="766" w:type="pct"/>
            <w:tcBorders>
              <w:top w:val="single" w:color="auto" w:sz="4" w:space="0"/>
              <w:bottom w:val="single" w:color="auto" w:sz="4" w:space="0"/>
            </w:tcBorders>
            <w:vAlign w:val="center"/>
          </w:tcPr>
          <w:p w14:paraId="2FB4DE91">
            <w:pPr>
              <w:pStyle w:val="45"/>
              <w:bidi w:val="0"/>
              <w:rPr>
                <w:rFonts w:hint="default" w:ascii="Times New Roman" w:hAnsi="Times New Roman" w:cs="Times New Roman"/>
                <w:color w:val="auto"/>
                <w:highlight w:val="none"/>
              </w:rPr>
            </w:pPr>
          </w:p>
        </w:tc>
        <w:tc>
          <w:tcPr>
            <w:tcW w:w="768" w:type="pct"/>
            <w:vAlign w:val="center"/>
          </w:tcPr>
          <w:p w14:paraId="2481A5BA">
            <w:pPr>
              <w:pStyle w:val="45"/>
              <w:bidi w:val="0"/>
              <w:rPr>
                <w:rFonts w:hint="default" w:ascii="Times New Roman" w:hAnsi="Times New Roman" w:cs="Times New Roman"/>
                <w:color w:val="auto"/>
                <w:highlight w:val="none"/>
              </w:rPr>
            </w:pPr>
          </w:p>
        </w:tc>
        <w:tc>
          <w:tcPr>
            <w:tcW w:w="1300" w:type="pct"/>
            <w:vAlign w:val="center"/>
          </w:tcPr>
          <w:p w14:paraId="3751604E">
            <w:pPr>
              <w:pStyle w:val="45"/>
              <w:bidi w:val="0"/>
              <w:rPr>
                <w:rFonts w:hint="default" w:ascii="Times New Roman" w:hAnsi="Times New Roman" w:cs="Times New Roman"/>
                <w:color w:val="auto"/>
                <w:highlight w:val="none"/>
              </w:rPr>
            </w:pPr>
          </w:p>
        </w:tc>
      </w:tr>
      <w:tr w14:paraId="3AF8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pct"/>
            <w:vAlign w:val="center"/>
          </w:tcPr>
          <w:p w14:paraId="7BBE294B">
            <w:pPr>
              <w:pStyle w:val="45"/>
              <w:bidi w:val="0"/>
              <w:rPr>
                <w:rFonts w:hint="default" w:ascii="Times New Roman" w:hAnsi="Times New Roman" w:cs="Times New Roman"/>
                <w:color w:val="auto"/>
                <w:highlight w:val="none"/>
              </w:rPr>
            </w:pPr>
          </w:p>
        </w:tc>
        <w:tc>
          <w:tcPr>
            <w:tcW w:w="766" w:type="pct"/>
            <w:vAlign w:val="center"/>
          </w:tcPr>
          <w:p w14:paraId="296F057B">
            <w:pPr>
              <w:pStyle w:val="45"/>
              <w:bidi w:val="0"/>
              <w:rPr>
                <w:rFonts w:hint="default" w:ascii="Times New Roman" w:hAnsi="Times New Roman" w:cs="Times New Roman"/>
                <w:color w:val="auto"/>
                <w:highlight w:val="none"/>
              </w:rPr>
            </w:pPr>
          </w:p>
        </w:tc>
        <w:tc>
          <w:tcPr>
            <w:tcW w:w="766" w:type="pct"/>
            <w:vAlign w:val="center"/>
          </w:tcPr>
          <w:p w14:paraId="58E075FA">
            <w:pPr>
              <w:pStyle w:val="45"/>
              <w:bidi w:val="0"/>
              <w:rPr>
                <w:rFonts w:hint="default" w:ascii="Times New Roman" w:hAnsi="Times New Roman" w:cs="Times New Roman"/>
                <w:color w:val="auto"/>
                <w:highlight w:val="none"/>
              </w:rPr>
            </w:pPr>
          </w:p>
        </w:tc>
        <w:tc>
          <w:tcPr>
            <w:tcW w:w="766" w:type="pct"/>
            <w:tcBorders>
              <w:top w:val="single" w:color="auto" w:sz="4" w:space="0"/>
              <w:bottom w:val="single" w:color="auto" w:sz="4" w:space="0"/>
            </w:tcBorders>
            <w:vAlign w:val="center"/>
          </w:tcPr>
          <w:p w14:paraId="2069AABC">
            <w:pPr>
              <w:pStyle w:val="45"/>
              <w:bidi w:val="0"/>
              <w:rPr>
                <w:rFonts w:hint="default" w:ascii="Times New Roman" w:hAnsi="Times New Roman" w:cs="Times New Roman"/>
                <w:color w:val="auto"/>
                <w:highlight w:val="none"/>
              </w:rPr>
            </w:pPr>
          </w:p>
        </w:tc>
        <w:tc>
          <w:tcPr>
            <w:tcW w:w="768" w:type="pct"/>
            <w:vAlign w:val="center"/>
          </w:tcPr>
          <w:p w14:paraId="402C4E1A">
            <w:pPr>
              <w:pStyle w:val="45"/>
              <w:bidi w:val="0"/>
              <w:rPr>
                <w:rFonts w:hint="default" w:ascii="Times New Roman" w:hAnsi="Times New Roman" w:cs="Times New Roman"/>
                <w:color w:val="auto"/>
                <w:highlight w:val="none"/>
              </w:rPr>
            </w:pPr>
          </w:p>
        </w:tc>
        <w:tc>
          <w:tcPr>
            <w:tcW w:w="1300" w:type="pct"/>
            <w:vAlign w:val="center"/>
          </w:tcPr>
          <w:p w14:paraId="25C7CAF3">
            <w:pPr>
              <w:pStyle w:val="45"/>
              <w:bidi w:val="0"/>
              <w:rPr>
                <w:rFonts w:hint="default" w:ascii="Times New Roman" w:hAnsi="Times New Roman" w:cs="Times New Roman"/>
                <w:color w:val="auto"/>
                <w:highlight w:val="none"/>
              </w:rPr>
            </w:pPr>
          </w:p>
        </w:tc>
      </w:tr>
      <w:bookmarkEnd w:id="15"/>
      <w:bookmarkEnd w:id="16"/>
      <w:bookmarkEnd w:id="17"/>
    </w:tbl>
    <w:p w14:paraId="35D41E02">
      <w:pPr>
        <w:pStyle w:val="3"/>
        <w:numPr>
          <w:ilvl w:val="1"/>
          <w:numId w:val="0"/>
        </w:numPr>
        <w:bidi w:val="0"/>
        <w:ind w:leftChars="0"/>
        <w:rPr>
          <w:rFonts w:hint="default" w:ascii="Times New Roman" w:hAnsi="Times New Roman" w:cs="Times New Roman"/>
          <w:color w:val="auto"/>
          <w:highlight w:val="none"/>
        </w:rPr>
      </w:pPr>
      <w:bookmarkStart w:id="31" w:name="_Toc3154"/>
      <w:r>
        <w:rPr>
          <w:rFonts w:hint="default" w:ascii="Times New Roman" w:hAnsi="Times New Roman" w:cs="Times New Roman"/>
          <w:color w:val="auto"/>
          <w:highlight w:val="none"/>
          <w:lang w:val="en-US" w:eastAsia="zh-CN"/>
        </w:rPr>
        <w:t xml:space="preserve">1.2 </w:t>
      </w:r>
      <w:r>
        <w:rPr>
          <w:rFonts w:hint="default" w:ascii="Times New Roman" w:hAnsi="Times New Roman" w:cs="Times New Roman"/>
          <w:color w:val="auto"/>
          <w:highlight w:val="none"/>
        </w:rPr>
        <w:t>项目位置</w:t>
      </w:r>
      <w:bookmarkEnd w:id="31"/>
    </w:p>
    <w:p w14:paraId="7B1BCDA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常熟三爱富氟化工有限责任公司</w:t>
      </w:r>
      <w:r>
        <w:rPr>
          <w:rFonts w:hint="default" w:ascii="Times New Roman" w:hAnsi="Times New Roman" w:cs="Times New Roman"/>
          <w:color w:val="auto"/>
          <w:highlight w:val="none"/>
        </w:rPr>
        <w:t>的厂区位于位于</w:t>
      </w:r>
      <w:r>
        <w:rPr>
          <w:rFonts w:hint="default" w:ascii="Times New Roman" w:hAnsi="Times New Roman" w:cs="Times New Roman"/>
          <w:color w:val="auto"/>
          <w:highlight w:val="none"/>
          <w:lang w:eastAsia="zh-CN"/>
        </w:rPr>
        <w:t>常熟新材料产业园</w:t>
      </w:r>
      <w:r>
        <w:rPr>
          <w:rFonts w:hint="default" w:ascii="Times New Roman" w:hAnsi="Times New Roman" w:cs="Times New Roman"/>
          <w:color w:val="auto"/>
          <w:highlight w:val="none"/>
          <w:lang w:val="en-US" w:eastAsia="zh-CN"/>
        </w:rPr>
        <w:t>内</w:t>
      </w:r>
      <w:r>
        <w:rPr>
          <w:rFonts w:hint="default" w:ascii="Times New Roman" w:hAnsi="Times New Roman" w:cs="Times New Roman"/>
          <w:color w:val="auto"/>
          <w:highlight w:val="none"/>
        </w:rPr>
        <w:t>。江苏常熟新材料产业园位于常熟北部，濒临长江，是常熟市唯一的专业化工园区，是江苏省沿江战略的重要组成部分。园区规划面积15.02平方</w:t>
      </w:r>
      <w:r>
        <w:rPr>
          <w:rFonts w:hint="default" w:ascii="Times New Roman" w:hAnsi="Times New Roman" w:cs="Times New Roman"/>
          <w:color w:val="auto"/>
          <w:highlight w:val="none"/>
          <w:lang w:eastAsia="zh-CN"/>
        </w:rPr>
        <w:t>km</w:t>
      </w:r>
      <w:r>
        <w:rPr>
          <w:rFonts w:hint="default" w:ascii="Times New Roman" w:hAnsi="Times New Roman" w:cs="Times New Roman"/>
          <w:color w:val="auto"/>
          <w:highlight w:val="none"/>
        </w:rPr>
        <w:t>，重点发展新材料、精细化工、生物医药产业，着力把园区建成国际先进、国内一流的特色园区。已有美国杜邦、法国阿科玛、日本大金、比利时苏威、上海三爱富、瑞凯添加剂、威怡食品科技有限公司等国内外知名公司进驻。该区北临长江，南距支（塘）福（山）线约1.5</w:t>
      </w:r>
      <w:r>
        <w:rPr>
          <w:rFonts w:hint="default" w:ascii="Times New Roman" w:hAnsi="Times New Roman" w:cs="Times New Roman"/>
          <w:color w:val="auto"/>
          <w:highlight w:val="none"/>
          <w:lang w:eastAsia="zh-CN"/>
        </w:rPr>
        <w:t>km</w:t>
      </w:r>
      <w:r>
        <w:rPr>
          <w:rFonts w:hint="default" w:ascii="Times New Roman" w:hAnsi="Times New Roman" w:cs="Times New Roman"/>
          <w:color w:val="auto"/>
          <w:highlight w:val="none"/>
        </w:rPr>
        <w:t>，距常熟市区及虞山国家森林公园约16</w:t>
      </w:r>
      <w:r>
        <w:rPr>
          <w:rFonts w:hint="default" w:ascii="Times New Roman" w:hAnsi="Times New Roman" w:cs="Times New Roman"/>
          <w:color w:val="auto"/>
          <w:highlight w:val="none"/>
          <w:lang w:eastAsia="zh-CN"/>
        </w:rPr>
        <w:t>km</w:t>
      </w:r>
      <w:r>
        <w:rPr>
          <w:rFonts w:hint="default" w:ascii="Times New Roman" w:hAnsi="Times New Roman" w:cs="Times New Roman"/>
          <w:color w:val="auto"/>
          <w:highlight w:val="none"/>
        </w:rPr>
        <w:t>，距苏州市56</w:t>
      </w:r>
      <w:r>
        <w:rPr>
          <w:rFonts w:hint="default" w:ascii="Times New Roman" w:hAnsi="Times New Roman" w:cs="Times New Roman"/>
          <w:color w:val="auto"/>
          <w:highlight w:val="none"/>
          <w:lang w:eastAsia="zh-CN"/>
        </w:rPr>
        <w:t>km</w:t>
      </w:r>
      <w:r>
        <w:rPr>
          <w:rFonts w:hint="default" w:ascii="Times New Roman" w:hAnsi="Times New Roman" w:cs="Times New Roman"/>
          <w:color w:val="auto"/>
          <w:highlight w:val="none"/>
        </w:rPr>
        <w:t>，距上海市100</w:t>
      </w:r>
      <w:r>
        <w:rPr>
          <w:rFonts w:hint="default" w:ascii="Times New Roman" w:hAnsi="Times New Roman" w:cs="Times New Roman"/>
          <w:color w:val="auto"/>
          <w:highlight w:val="none"/>
          <w:lang w:eastAsia="zh-CN"/>
        </w:rPr>
        <w:t>km</w:t>
      </w:r>
      <w:r>
        <w:rPr>
          <w:rFonts w:hint="default" w:ascii="Times New Roman" w:hAnsi="Times New Roman" w:cs="Times New Roman"/>
          <w:color w:val="auto"/>
          <w:highlight w:val="none"/>
        </w:rPr>
        <w:t>，东距常熟港15</w:t>
      </w:r>
      <w:r>
        <w:rPr>
          <w:rFonts w:hint="default" w:ascii="Times New Roman" w:hAnsi="Times New Roman" w:cs="Times New Roman"/>
          <w:color w:val="auto"/>
          <w:highlight w:val="none"/>
          <w:lang w:eastAsia="zh-CN"/>
        </w:rPr>
        <w:t>km</w:t>
      </w:r>
      <w:r>
        <w:rPr>
          <w:rFonts w:hint="default" w:ascii="Times New Roman" w:hAnsi="Times New Roman" w:cs="Times New Roman"/>
          <w:color w:val="auto"/>
          <w:highlight w:val="none"/>
        </w:rPr>
        <w:t>，西北距张家港35</w:t>
      </w:r>
      <w:r>
        <w:rPr>
          <w:rFonts w:hint="default" w:ascii="Times New Roman" w:hAnsi="Times New Roman" w:cs="Times New Roman"/>
          <w:color w:val="auto"/>
          <w:highlight w:val="none"/>
          <w:lang w:eastAsia="zh-CN"/>
        </w:rPr>
        <w:t>km</w:t>
      </w:r>
      <w:r>
        <w:rPr>
          <w:rFonts w:hint="default" w:ascii="Times New Roman" w:hAnsi="Times New Roman" w:cs="Times New Roman"/>
          <w:color w:val="auto"/>
          <w:highlight w:val="none"/>
        </w:rPr>
        <w:t>，北面与南通港隔江相望。具体项目位置见</w:t>
      </w:r>
      <w:r>
        <w:rPr>
          <w:rFonts w:hint="default" w:ascii="Times New Roman" w:hAnsi="Times New Roman" w:cs="Times New Roman"/>
          <w:color w:val="auto"/>
          <w:highlight w:val="none"/>
          <w:lang w:val="en-US" w:eastAsia="zh-CN"/>
        </w:rPr>
        <w:t>下图</w:t>
      </w:r>
      <w:r>
        <w:rPr>
          <w:rFonts w:hint="default" w:ascii="Times New Roman" w:hAnsi="Times New Roman" w:cs="Times New Roman"/>
          <w:color w:val="auto"/>
          <w:highlight w:val="none"/>
        </w:rPr>
        <w:t>。</w:t>
      </w:r>
    </w:p>
    <w:p w14:paraId="218DBC30">
      <w:pPr>
        <w:pStyle w:val="47"/>
        <w:keepNext w:val="0"/>
        <w:keepLines w:val="0"/>
        <w:pageBreakBefore w:val="0"/>
        <w:widowControl w:val="0"/>
        <w:kinsoku/>
        <w:wordWrap/>
        <w:overflowPunct/>
        <w:topLinePunct w:val="0"/>
        <w:autoSpaceDE/>
        <w:autoSpaceDN/>
        <w:bidi w:val="0"/>
        <w:adjustRightInd/>
        <w:snapToGrid/>
        <w:spacing w:after="0" w:afterLines="0"/>
        <w:textAlignment w:val="auto"/>
        <w:rPr>
          <w:rFonts w:hint="default"/>
          <w:color w:val="auto"/>
        </w:rPr>
      </w:pPr>
      <w:r>
        <w:rPr>
          <w:rFonts w:hint="default"/>
          <w:color w:val="auto"/>
        </w:rPr>
        <w:drawing>
          <wp:inline distT="0" distB="0" distL="114300" distR="114300">
            <wp:extent cx="5219700" cy="2663190"/>
            <wp:effectExtent l="9525" t="9525" r="9525" b="133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5"/>
                    <a:stretch>
                      <a:fillRect/>
                    </a:stretch>
                  </pic:blipFill>
                  <pic:spPr>
                    <a:xfrm>
                      <a:off x="0" y="0"/>
                      <a:ext cx="5219700" cy="2663190"/>
                    </a:xfrm>
                    <a:prstGeom prst="rect">
                      <a:avLst/>
                    </a:prstGeom>
                    <a:noFill/>
                    <a:ln>
                      <a:solidFill>
                        <a:schemeClr val="tx1"/>
                      </a:solidFill>
                    </a:ln>
                  </pic:spPr>
                </pic:pic>
              </a:graphicData>
            </a:graphic>
          </wp:inline>
        </w:drawing>
      </w:r>
    </w:p>
    <w:p w14:paraId="2264673E">
      <w:pPr>
        <w:pStyle w:val="47"/>
        <w:bidi w:val="0"/>
        <w:rPr>
          <w:rFonts w:hint="default"/>
          <w:color w:val="auto"/>
        </w:rPr>
      </w:pPr>
      <w:bookmarkStart w:id="32" w:name="OLE_LINK4"/>
      <w:r>
        <w:rPr>
          <w:rFonts w:hint="default"/>
          <w:color w:val="auto"/>
        </w:rPr>
        <w:t>图</w:t>
      </w:r>
      <w:r>
        <w:rPr>
          <w:rFonts w:hint="default"/>
          <w:color w:val="auto"/>
          <w:lang w:val="en-US" w:eastAsia="zh-CN"/>
        </w:rPr>
        <w:t xml:space="preserve"> </w:t>
      </w:r>
      <w:r>
        <w:rPr>
          <w:rFonts w:hint="default"/>
          <w:color w:val="auto"/>
        </w:rPr>
        <w:t>1</w:t>
      </w:r>
      <w:r>
        <w:rPr>
          <w:rFonts w:hint="default"/>
          <w:color w:val="auto"/>
          <w:lang w:val="en-US" w:eastAsia="zh-CN"/>
        </w:rPr>
        <w:t>.2</w:t>
      </w:r>
      <w:r>
        <w:rPr>
          <w:rFonts w:hint="default"/>
          <w:color w:val="auto"/>
        </w:rPr>
        <w:t>-</w:t>
      </w:r>
      <w:r>
        <w:rPr>
          <w:rFonts w:hint="default"/>
          <w:color w:val="auto"/>
          <w:lang w:val="en-US" w:eastAsia="zh-CN"/>
        </w:rPr>
        <w:t>1</w:t>
      </w:r>
      <w:r>
        <w:rPr>
          <w:rFonts w:hint="default"/>
          <w:color w:val="auto"/>
        </w:rPr>
        <w:t xml:space="preserve"> </w:t>
      </w:r>
      <w:r>
        <w:rPr>
          <w:rFonts w:hint="default"/>
          <w:color w:val="auto"/>
          <w:lang w:eastAsia="zh-CN"/>
        </w:rPr>
        <w:t>三爱富公司</w:t>
      </w:r>
      <w:r>
        <w:rPr>
          <w:rFonts w:hint="default"/>
          <w:color w:val="auto"/>
        </w:rPr>
        <w:t>地理位置图</w:t>
      </w:r>
      <w:bookmarkEnd w:id="32"/>
    </w:p>
    <w:p w14:paraId="69498F9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Style w:val="58"/>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55895" cy="3141980"/>
            <wp:effectExtent l="9525" t="9525" r="11430" b="1079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6"/>
                    <a:stretch>
                      <a:fillRect/>
                    </a:stretch>
                  </pic:blipFill>
                  <pic:spPr>
                    <a:xfrm>
                      <a:off x="0" y="0"/>
                      <a:ext cx="5255895" cy="3141980"/>
                    </a:xfrm>
                    <a:prstGeom prst="rect">
                      <a:avLst/>
                    </a:prstGeom>
                    <a:noFill/>
                    <a:ln>
                      <a:solidFill>
                        <a:schemeClr val="tx1"/>
                      </a:solidFill>
                    </a:ln>
                  </pic:spPr>
                </pic:pic>
              </a:graphicData>
            </a:graphic>
          </wp:inline>
        </w:drawing>
      </w:r>
    </w:p>
    <w:p w14:paraId="772A25C8">
      <w:pPr>
        <w:pStyle w:val="47"/>
        <w:bidi w:val="0"/>
        <w:rPr>
          <w:rFonts w:hint="default" w:ascii="Times New Roman" w:hAnsi="Times New Roman" w:cs="Times New Roman"/>
          <w:color w:val="auto"/>
          <w:highlight w:val="none"/>
        </w:rPr>
      </w:pPr>
      <w:r>
        <w:rPr>
          <w:rStyle w:val="58"/>
          <w:rFonts w:hint="default" w:ascii="Times New Roman" w:hAnsi="Times New Roman" w:cs="Times New Roman"/>
          <w:color w:val="auto"/>
          <w:highlight w:val="none"/>
        </w:rPr>
        <w:t>图</w:t>
      </w:r>
      <w:r>
        <w:rPr>
          <w:rStyle w:val="58"/>
          <w:rFonts w:hint="default" w:ascii="Times New Roman" w:hAnsi="Times New Roman" w:cs="Times New Roman"/>
          <w:color w:val="auto"/>
          <w:highlight w:val="none"/>
          <w:lang w:val="en-US" w:eastAsia="zh-CN"/>
        </w:rPr>
        <w:t xml:space="preserve"> </w:t>
      </w:r>
      <w:r>
        <w:rPr>
          <w:rStyle w:val="58"/>
          <w:rFonts w:hint="default" w:ascii="Times New Roman" w:hAnsi="Times New Roman" w:cs="Times New Roman"/>
          <w:color w:val="auto"/>
          <w:highlight w:val="none"/>
        </w:rPr>
        <w:t>1</w:t>
      </w:r>
      <w:r>
        <w:rPr>
          <w:rStyle w:val="58"/>
          <w:rFonts w:hint="default" w:ascii="Times New Roman" w:hAnsi="Times New Roman" w:cs="Times New Roman"/>
          <w:color w:val="auto"/>
          <w:highlight w:val="none"/>
          <w:lang w:val="en-US" w:eastAsia="zh-CN"/>
        </w:rPr>
        <w:t>.2</w:t>
      </w:r>
      <w:r>
        <w:rPr>
          <w:rStyle w:val="58"/>
          <w:rFonts w:hint="default" w:ascii="Times New Roman" w:hAnsi="Times New Roman" w:cs="Times New Roman"/>
          <w:color w:val="auto"/>
          <w:highlight w:val="none"/>
        </w:rPr>
        <w:t>-</w:t>
      </w:r>
      <w:r>
        <w:rPr>
          <w:rStyle w:val="58"/>
          <w:rFonts w:hint="default" w:ascii="Times New Roman" w:hAnsi="Times New Roman" w:cs="Times New Roman"/>
          <w:color w:val="auto"/>
          <w:highlight w:val="none"/>
          <w:lang w:val="en-US" w:eastAsia="zh-CN"/>
        </w:rPr>
        <w:t>2</w:t>
      </w:r>
      <w:r>
        <w:rPr>
          <w:rStyle w:val="58"/>
          <w:rFonts w:hint="default" w:ascii="Times New Roman" w:hAnsi="Times New Roman" w:cs="Times New Roman"/>
          <w:color w:val="auto"/>
          <w:highlight w:val="none"/>
        </w:rPr>
        <w:t xml:space="preserve"> </w:t>
      </w:r>
      <w:r>
        <w:rPr>
          <w:rStyle w:val="58"/>
          <w:rFonts w:hint="default" w:ascii="Times New Roman" w:hAnsi="Times New Roman" w:cs="Times New Roman"/>
          <w:color w:val="auto"/>
          <w:highlight w:val="none"/>
          <w:lang w:eastAsia="zh-CN"/>
        </w:rPr>
        <w:t>三爱富公司</w:t>
      </w:r>
      <w:r>
        <w:rPr>
          <w:rStyle w:val="58"/>
          <w:rFonts w:hint="default" w:ascii="Times New Roman" w:hAnsi="Times New Roman" w:cs="Times New Roman"/>
          <w:color w:val="auto"/>
          <w:highlight w:val="none"/>
          <w:lang w:val="en-US" w:eastAsia="zh-CN"/>
        </w:rPr>
        <w:t>影像</w:t>
      </w:r>
      <w:r>
        <w:rPr>
          <w:rStyle w:val="58"/>
          <w:rFonts w:hint="default" w:ascii="Times New Roman" w:hAnsi="Times New Roman" w:cs="Times New Roman"/>
          <w:color w:val="auto"/>
          <w:highlight w:val="none"/>
        </w:rPr>
        <w:t>图</w:t>
      </w:r>
    </w:p>
    <w:p w14:paraId="0101D4D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HCFC</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141b</w:t>
      </w:r>
      <w:r>
        <w:rPr>
          <w:rFonts w:hint="default" w:ascii="Times New Roman" w:hAnsi="Times New Roman" w:cs="Times New Roman"/>
          <w:color w:val="auto"/>
          <w:szCs w:val="28"/>
          <w:highlight w:val="none"/>
        </w:rPr>
        <w:t>生产线总占地</w:t>
      </w:r>
      <w:r>
        <w:rPr>
          <w:rFonts w:hint="default" w:ascii="Times New Roman" w:hAnsi="Times New Roman" w:cs="Times New Roman"/>
          <w:color w:val="auto"/>
          <w:szCs w:val="28"/>
          <w:highlight w:val="none"/>
          <w:lang w:val="en-US" w:eastAsia="zh-CN"/>
        </w:rPr>
        <w:t>面积约2646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43D2627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厂区总平面布置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厂内综合办公室与欣福硫酸厂共用一个办公楼，位于厂的北侧，食堂位于厂区东侧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生产区则位于厂区中央及西侧，包含现有的AHF生产车间、</w:t>
      </w:r>
      <w:r>
        <w:rPr>
          <w:rFonts w:hint="default" w:ascii="Times New Roman" w:hAnsi="Times New Roman" w:cs="Times New Roman"/>
          <w:color w:val="auto"/>
          <w:highlight w:val="none"/>
          <w:lang w:val="en-US" w:eastAsia="zh-CN"/>
        </w:rPr>
        <w:t>HFP</w:t>
      </w:r>
      <w:r>
        <w:rPr>
          <w:rFonts w:hint="default" w:ascii="Times New Roman" w:hAnsi="Times New Roman" w:cs="Times New Roman"/>
          <w:color w:val="auto"/>
          <w:highlight w:val="none"/>
        </w:rPr>
        <w:t>生产车间，F113a生产车间、贮罐、危险品仓库、CTFE生产车间、F113生产线、消防水池、污水处理站、配电房等</w:t>
      </w:r>
    </w:p>
    <w:p w14:paraId="10E1D11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HCFC-141b</w:t>
      </w:r>
      <w:r>
        <w:rPr>
          <w:rFonts w:hint="default" w:ascii="Times New Roman" w:hAnsi="Times New Roman" w:cs="Times New Roman"/>
          <w:color w:val="auto"/>
          <w:highlight w:val="none"/>
        </w:rPr>
        <w:t>装置布置于厂区南侧，与现有无水氟化氢车间相邻。周边均为工业用地。</w:t>
      </w:r>
    </w:p>
    <w:p w14:paraId="262AC58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592070" cy="1946910"/>
            <wp:effectExtent l="0" t="0" r="17780" b="15240"/>
            <wp:docPr id="9" name="图片 9" descr="微信图片_2025012111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121115902"/>
                    <pic:cNvPicPr>
                      <a:picLocks noChangeAspect="1"/>
                    </pic:cNvPicPr>
                  </pic:nvPicPr>
                  <pic:blipFill>
                    <a:blip r:embed="rId37"/>
                    <a:stretch>
                      <a:fillRect/>
                    </a:stretch>
                  </pic:blipFill>
                  <pic:spPr>
                    <a:xfrm>
                      <a:off x="0" y="0"/>
                      <a:ext cx="2592070" cy="1946910"/>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946910"/>
            <wp:effectExtent l="0" t="0" r="17780" b="15240"/>
            <wp:docPr id="7" name="图片 7" descr="微信图片_2025012111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121115915"/>
                    <pic:cNvPicPr>
                      <a:picLocks noChangeAspect="1"/>
                    </pic:cNvPicPr>
                  </pic:nvPicPr>
                  <pic:blipFill>
                    <a:blip r:embed="rId38"/>
                    <a:stretch>
                      <a:fillRect/>
                    </a:stretch>
                  </pic:blipFill>
                  <pic:spPr>
                    <a:xfrm>
                      <a:off x="0" y="0"/>
                      <a:ext cx="2592070" cy="1946910"/>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946910"/>
            <wp:effectExtent l="0" t="0" r="17780" b="15240"/>
            <wp:docPr id="5" name="图片 5" descr="微信图片_2025012111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121115920"/>
                    <pic:cNvPicPr>
                      <a:picLocks noChangeAspect="1"/>
                    </pic:cNvPicPr>
                  </pic:nvPicPr>
                  <pic:blipFill>
                    <a:blip r:embed="rId39"/>
                    <a:stretch>
                      <a:fillRect/>
                    </a:stretch>
                  </pic:blipFill>
                  <pic:spPr>
                    <a:xfrm>
                      <a:off x="0" y="0"/>
                      <a:ext cx="2592070" cy="1946910"/>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951355"/>
            <wp:effectExtent l="0" t="0" r="17780" b="10795"/>
            <wp:docPr id="4" name="图片 4" descr="微信图片_20250121115926"/>
            <wp:cNvGraphicFramePr/>
            <a:graphic xmlns:a="http://schemas.openxmlformats.org/drawingml/2006/main">
              <a:graphicData uri="http://schemas.openxmlformats.org/drawingml/2006/picture">
                <pic:pic xmlns:pic="http://schemas.openxmlformats.org/drawingml/2006/picture">
                  <pic:nvPicPr>
                    <pic:cNvPr id="4" name="图片 4" descr="微信图片_20250121115926"/>
                    <pic:cNvPicPr/>
                  </pic:nvPicPr>
                  <pic:blipFill>
                    <a:blip r:embed="rId40"/>
                    <a:srcRect/>
                    <a:stretch>
                      <a:fillRect/>
                    </a:stretch>
                  </pic:blipFill>
                  <pic:spPr>
                    <a:xfrm>
                      <a:off x="0" y="0"/>
                      <a:ext cx="2592070" cy="1951355"/>
                    </a:xfrm>
                    <a:prstGeom prst="rect">
                      <a:avLst/>
                    </a:prstGeom>
                  </pic:spPr>
                </pic:pic>
              </a:graphicData>
            </a:graphic>
          </wp:inline>
        </w:drawing>
      </w:r>
    </w:p>
    <w:p w14:paraId="0D39619A">
      <w:pPr>
        <w:pStyle w:val="47"/>
        <w:bidi w:val="0"/>
        <w:rPr>
          <w:rStyle w:val="58"/>
          <w:rFonts w:hint="default" w:ascii="Times New Roman" w:hAnsi="Times New Roman" w:cs="Times New Roman"/>
          <w:color w:val="auto"/>
          <w:highlight w:val="none"/>
        </w:rPr>
      </w:pPr>
      <w:r>
        <w:rPr>
          <w:rStyle w:val="58"/>
          <w:rFonts w:hint="default" w:ascii="Times New Roman" w:hAnsi="Times New Roman" w:cs="Times New Roman"/>
          <w:color w:val="auto"/>
          <w:highlight w:val="none"/>
        </w:rPr>
        <w:t>图</w:t>
      </w:r>
      <w:r>
        <w:rPr>
          <w:rStyle w:val="58"/>
          <w:rFonts w:hint="default" w:ascii="Times New Roman" w:hAnsi="Times New Roman" w:cs="Times New Roman"/>
          <w:color w:val="auto"/>
          <w:highlight w:val="none"/>
          <w:lang w:val="en-US" w:eastAsia="zh-CN"/>
        </w:rPr>
        <w:t xml:space="preserve"> </w:t>
      </w:r>
      <w:r>
        <w:rPr>
          <w:rStyle w:val="58"/>
          <w:rFonts w:hint="default" w:ascii="Times New Roman" w:hAnsi="Times New Roman" w:cs="Times New Roman"/>
          <w:color w:val="auto"/>
          <w:highlight w:val="none"/>
        </w:rPr>
        <w:t>1</w:t>
      </w:r>
      <w:r>
        <w:rPr>
          <w:rStyle w:val="58"/>
          <w:rFonts w:hint="default" w:ascii="Times New Roman" w:hAnsi="Times New Roman" w:cs="Times New Roman"/>
          <w:color w:val="auto"/>
          <w:highlight w:val="none"/>
          <w:lang w:val="en-US" w:eastAsia="zh-CN"/>
        </w:rPr>
        <w:t>.2</w:t>
      </w:r>
      <w:r>
        <w:rPr>
          <w:rStyle w:val="58"/>
          <w:rFonts w:hint="default" w:ascii="Times New Roman" w:hAnsi="Times New Roman" w:cs="Times New Roman"/>
          <w:color w:val="auto"/>
          <w:highlight w:val="none"/>
        </w:rPr>
        <w:t>-</w:t>
      </w:r>
      <w:r>
        <w:rPr>
          <w:rStyle w:val="58"/>
          <w:rFonts w:hint="default" w:ascii="Times New Roman" w:hAnsi="Times New Roman" w:cs="Times New Roman"/>
          <w:color w:val="auto"/>
          <w:highlight w:val="none"/>
          <w:lang w:val="en-US" w:eastAsia="zh-CN"/>
        </w:rPr>
        <w:t>3</w:t>
      </w:r>
      <w:r>
        <w:rPr>
          <w:rStyle w:val="58"/>
          <w:rFonts w:hint="default" w:ascii="Times New Roman" w:hAnsi="Times New Roman" w:cs="Times New Roman"/>
          <w:color w:val="auto"/>
          <w:highlight w:val="none"/>
        </w:rPr>
        <w:t xml:space="preserve"> </w:t>
      </w:r>
      <w:r>
        <w:rPr>
          <w:rStyle w:val="58"/>
          <w:rFonts w:hint="default" w:ascii="Times New Roman" w:hAnsi="Times New Roman" w:cs="Times New Roman"/>
          <w:color w:val="auto"/>
          <w:highlight w:val="none"/>
          <w:lang w:eastAsia="zh-CN"/>
        </w:rPr>
        <w:t>三爱富公司</w:t>
      </w:r>
      <w:r>
        <w:rPr>
          <w:rStyle w:val="58"/>
          <w:rFonts w:hint="default" w:ascii="Times New Roman" w:hAnsi="Times New Roman" w:cs="Times New Roman"/>
          <w:color w:val="auto"/>
          <w:highlight w:val="none"/>
        </w:rPr>
        <w:t>HCFC-141b生产</w:t>
      </w:r>
      <w:r>
        <w:rPr>
          <w:rStyle w:val="58"/>
          <w:rFonts w:hint="default" w:ascii="Times New Roman" w:hAnsi="Times New Roman" w:cs="Times New Roman"/>
          <w:color w:val="auto"/>
          <w:highlight w:val="none"/>
          <w:lang w:val="en-US" w:eastAsia="zh-CN"/>
        </w:rPr>
        <w:t>单元</w:t>
      </w:r>
      <w:r>
        <w:rPr>
          <w:rStyle w:val="58"/>
          <w:rFonts w:hint="default" w:ascii="Times New Roman" w:hAnsi="Times New Roman" w:cs="Times New Roman"/>
          <w:color w:val="auto"/>
          <w:highlight w:val="none"/>
        </w:rPr>
        <w:t>现状</w:t>
      </w:r>
      <w:r>
        <w:rPr>
          <w:rStyle w:val="58"/>
          <w:rFonts w:hint="default" w:ascii="Times New Roman" w:hAnsi="Times New Roman" w:cs="Times New Roman"/>
          <w:color w:val="auto"/>
          <w:highlight w:val="none"/>
          <w:lang w:val="en-US" w:eastAsia="zh-CN"/>
        </w:rPr>
        <w:t>照片</w:t>
      </w:r>
      <w:r>
        <w:rPr>
          <w:rStyle w:val="58"/>
          <w:rFonts w:hint="default" w:ascii="Times New Roman" w:hAnsi="Times New Roman" w:cs="Times New Roman"/>
          <w:color w:val="auto"/>
          <w:highlight w:val="none"/>
        </w:rPr>
        <w:t xml:space="preserve"> </w:t>
      </w:r>
    </w:p>
    <w:p w14:paraId="0768D79F">
      <w:pPr>
        <w:pStyle w:val="3"/>
        <w:numPr>
          <w:ilvl w:val="1"/>
          <w:numId w:val="0"/>
        </w:numPr>
        <w:ind w:leftChars="0"/>
        <w:rPr>
          <w:rFonts w:hint="default" w:ascii="Times New Roman" w:hAnsi="Times New Roman" w:cs="Times New Roman"/>
          <w:color w:val="auto"/>
          <w:highlight w:val="none"/>
        </w:rPr>
      </w:pPr>
      <w:bookmarkStart w:id="33" w:name="_Toc29730"/>
      <w:bookmarkStart w:id="34" w:name="_Toc406099803"/>
      <w:bookmarkStart w:id="35" w:name="_Toc406099679"/>
      <w:bookmarkStart w:id="36" w:name="_Toc406099527"/>
      <w:r>
        <w:rPr>
          <w:rFonts w:hint="default" w:ascii="Times New Roman" w:hAnsi="Times New Roman" w:cs="Times New Roman"/>
          <w:color w:val="auto"/>
          <w:highlight w:val="none"/>
          <w:lang w:val="en-US" w:eastAsia="zh-CN"/>
        </w:rPr>
        <w:t xml:space="preserve">1.3 </w:t>
      </w:r>
      <w:r>
        <w:rPr>
          <w:rFonts w:hint="default" w:ascii="Times New Roman" w:hAnsi="Times New Roman" w:cs="Times New Roman"/>
          <w:color w:val="auto"/>
          <w:highlight w:val="none"/>
        </w:rPr>
        <w:t>环境管理计划目标</w:t>
      </w:r>
      <w:bookmarkEnd w:id="33"/>
      <w:bookmarkEnd w:id="34"/>
      <w:bookmarkEnd w:id="35"/>
      <w:bookmarkEnd w:id="36"/>
    </w:p>
    <w:p w14:paraId="6C1D685E">
      <w:pPr>
        <w:rPr>
          <w:rFonts w:hint="default" w:ascii="Times New Roman" w:hAnsi="Times New Roman" w:cs="Times New Roman"/>
          <w:color w:val="auto"/>
          <w:highlight w:val="none"/>
        </w:rPr>
      </w:pPr>
      <w:r>
        <w:rPr>
          <w:rFonts w:hint="default" w:ascii="Times New Roman" w:hAnsi="Times New Roman" w:cs="Times New Roman"/>
          <w:color w:val="auto"/>
          <w:highlight w:val="none"/>
        </w:rPr>
        <w:t>按照《中华人民共和国环境影响评价法》以及《建设项目环境保护管理条例》的管理办法，依据世界银行</w:t>
      </w:r>
      <w:r>
        <w:rPr>
          <w:rFonts w:hint="default" w:ascii="Times New Roman" w:hAnsi="Times New Roman" w:cs="Times New Roman"/>
          <w:color w:val="auto"/>
          <w:highlight w:val="none"/>
          <w:lang w:val="en-US" w:eastAsia="zh-CN"/>
        </w:rPr>
        <w:t>环境和社会框架</w:t>
      </w:r>
      <w:r>
        <w:rPr>
          <w:rFonts w:hint="default" w:ascii="Times New Roman" w:hAnsi="Times New Roman" w:cs="Times New Roman"/>
          <w:color w:val="auto"/>
          <w:highlight w:val="none"/>
        </w:rPr>
        <w:t>，编制本环境管理计划，对</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lang w:val="en-US" w:eastAsia="zh-CN"/>
        </w:rPr>
        <w:t>HCFC-141b生产线</w:t>
      </w:r>
      <w:r>
        <w:rPr>
          <w:rFonts w:hint="default" w:ascii="Times New Roman" w:hAnsi="Times New Roman" w:cs="Times New Roman"/>
          <w:color w:val="auto"/>
          <w:highlight w:val="none"/>
        </w:rPr>
        <w:t>拆除工作鉴别环境影响，提出相应缓解措施，并指导相关单位在项目周期内对措施的有效性进行监督。在项目实施过程中，业主及承包商参照环境管理计划，确保排放的废气、废水、废渣以及噪声等污染类别达到相应的环保标准。此外，在上述基础上，业主还可依据本环境管理计划的相关内容分工自身及承包商的工作职责，对承包商进行监督管理。</w:t>
      </w:r>
    </w:p>
    <w:p w14:paraId="3B39122E">
      <w:pPr>
        <w:rPr>
          <w:rFonts w:hint="default" w:ascii="Times New Roman" w:hAnsi="Times New Roman" w:cs="Times New Roman"/>
          <w:color w:val="auto"/>
          <w:highlight w:val="none"/>
        </w:rPr>
      </w:pPr>
      <w:r>
        <w:rPr>
          <w:rFonts w:hint="default" w:ascii="Times New Roman" w:hAnsi="Times New Roman" w:cs="Times New Roman"/>
          <w:color w:val="auto"/>
          <w:highlight w:val="none"/>
        </w:rPr>
        <w:t>本环境管理计划的具体目标如下：</w:t>
      </w:r>
    </w:p>
    <w:p w14:paraId="1850A905">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在项目实施期间，依据本计划内容，在现场采取的环境措施有效减缓、抑制污染物的排放、扩散。</w:t>
      </w:r>
    </w:p>
    <w:p w14:paraId="6BE2B716">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在项目实施期间，即物料转移、厂区拆除工作中，本计划指导工作人员有效规避环境风险，确保工程环境安全。</w:t>
      </w:r>
    </w:p>
    <w:p w14:paraId="6C85FA55">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在项目实施期间，即物料转移、厂区拆除工作中，本计划指导开展环境监测，掌握物料转移及设备拆除过程中，各种污染物的排放情况，监测拆除区域及周边的环境影响，为控制污染提供依据。</w:t>
      </w:r>
    </w:p>
    <w:p w14:paraId="380F44D9">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在项目实施期间，本计划发展、推动和促进相关人员对环境和社会绩效的共同责任心；</w:t>
      </w:r>
    </w:p>
    <w:p w14:paraId="4F878B80">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本计划可通过相关培训工作，明确各方的环境和社会管理角色和职责，提高监管机构和企业自身（包括其承包商）的环境意识和认识；</w:t>
      </w:r>
    </w:p>
    <w:p w14:paraId="6E52B86B">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本计划将持续管理拆除项目的实施进行，使其满足相关法律法规及政策要求，并将实施概况告知相关单位，并依据本计划进行监督。</w:t>
      </w:r>
    </w:p>
    <w:p w14:paraId="56D30C28">
      <w:pPr>
        <w:pStyle w:val="3"/>
        <w:numPr>
          <w:ilvl w:val="1"/>
          <w:numId w:val="0"/>
        </w:numPr>
        <w:bidi w:val="0"/>
        <w:ind w:leftChars="0"/>
        <w:rPr>
          <w:rFonts w:hint="default" w:ascii="Times New Roman" w:hAnsi="Times New Roman" w:cs="Times New Roman"/>
          <w:color w:val="auto"/>
          <w:highlight w:val="none"/>
        </w:rPr>
      </w:pPr>
      <w:bookmarkStart w:id="37" w:name="_Toc406099528"/>
      <w:bookmarkStart w:id="38" w:name="_Toc20250"/>
      <w:bookmarkStart w:id="39" w:name="_Toc406099680"/>
      <w:bookmarkStart w:id="40" w:name="_Toc406099804"/>
      <w:r>
        <w:rPr>
          <w:rFonts w:hint="default" w:ascii="Times New Roman" w:hAnsi="Times New Roman" w:cs="Times New Roman"/>
          <w:color w:val="auto"/>
          <w:highlight w:val="none"/>
          <w:lang w:val="en-US" w:eastAsia="zh-CN"/>
        </w:rPr>
        <w:t xml:space="preserve">1.4 </w:t>
      </w:r>
      <w:r>
        <w:rPr>
          <w:rFonts w:hint="default" w:ascii="Times New Roman" w:hAnsi="Times New Roman" w:cs="Times New Roman"/>
          <w:color w:val="auto"/>
          <w:highlight w:val="none"/>
        </w:rPr>
        <w:t>环境管理计划内容</w:t>
      </w:r>
      <w:bookmarkEnd w:id="37"/>
      <w:bookmarkEnd w:id="38"/>
      <w:bookmarkEnd w:id="39"/>
      <w:bookmarkEnd w:id="40"/>
    </w:p>
    <w:p w14:paraId="1E55014E">
      <w:pPr>
        <w:rPr>
          <w:rFonts w:hint="default" w:ascii="Times New Roman" w:hAnsi="Times New Roman" w:cs="Times New Roman"/>
          <w:color w:val="auto"/>
          <w:highlight w:val="none"/>
        </w:rPr>
      </w:pPr>
      <w:r>
        <w:rPr>
          <w:rFonts w:hint="default" w:ascii="Times New Roman" w:hAnsi="Times New Roman" w:cs="Times New Roman"/>
          <w:color w:val="auto"/>
          <w:highlight w:val="none"/>
        </w:rPr>
        <w:t>本环境管理计划的关键组成部分包括项目实施期间整体环境管理的相关程序。依照环境管理的职能分工、环境管理的措施、环境监测、环境应急、场地后续环境管理以及相应的环境管理培训、预算、公众参与等内容划分章节如下：</w:t>
      </w:r>
    </w:p>
    <w:p w14:paraId="3F471DA1">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环境管理体系：</w:t>
      </w:r>
    </w:p>
    <w:p w14:paraId="0FEBE35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明确项目实施中环境管理的机构以及职责体系。</w:t>
      </w:r>
    </w:p>
    <w:p w14:paraId="7EA39B66">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环境影响及缓解管理措施：</w:t>
      </w:r>
    </w:p>
    <w:p w14:paraId="376FDCE2">
      <w:pPr>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在项目实施中鉴别现场的环境影响，识别环境风险，提出减缓环境影响、规避环境风险的应对措施。</w:t>
      </w:r>
    </w:p>
    <w:p w14:paraId="7967B946">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环境监测计划：</w:t>
      </w:r>
    </w:p>
    <w:p w14:paraId="4929BB76">
      <w:pPr>
        <w:rPr>
          <w:rFonts w:hint="default" w:ascii="Times New Roman" w:hAnsi="Times New Roman" w:cs="Times New Roman"/>
          <w:color w:val="auto"/>
          <w:highlight w:val="none"/>
        </w:rPr>
      </w:pPr>
      <w:r>
        <w:rPr>
          <w:rFonts w:hint="default" w:ascii="Times New Roman" w:hAnsi="Times New Roman" w:cs="Times New Roman"/>
          <w:color w:val="auto"/>
          <w:highlight w:val="none"/>
        </w:rPr>
        <w:t>系统提出项目实施中的环境监测类别、频率等，明确监测职责部门。</w:t>
      </w:r>
    </w:p>
    <w:p w14:paraId="20F4F051">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环境应急计划：</w:t>
      </w:r>
    </w:p>
    <w:p w14:paraId="3D40DBB5">
      <w:pPr>
        <w:rPr>
          <w:rFonts w:hint="default" w:ascii="Times New Roman" w:hAnsi="Times New Roman" w:cs="Times New Roman"/>
          <w:color w:val="auto"/>
          <w:highlight w:val="none"/>
        </w:rPr>
      </w:pPr>
      <w:r>
        <w:rPr>
          <w:rFonts w:hint="default" w:ascii="Times New Roman" w:hAnsi="Times New Roman" w:cs="Times New Roman"/>
          <w:color w:val="auto"/>
          <w:highlight w:val="none"/>
        </w:rPr>
        <w:t>面对可能存在的环境风险，提出环境应急预案，并明确环境风险事故发生后的行为规范、上报流程、操作流程等内容。</w:t>
      </w:r>
    </w:p>
    <w:p w14:paraId="7A198DB0">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环境培训计划：</w:t>
      </w:r>
    </w:p>
    <w:p w14:paraId="46F08EA9">
      <w:pPr>
        <w:rPr>
          <w:rFonts w:hint="default" w:ascii="Times New Roman" w:hAnsi="Times New Roman" w:cs="Times New Roman"/>
          <w:color w:val="auto"/>
          <w:highlight w:val="none"/>
        </w:rPr>
      </w:pPr>
      <w:r>
        <w:rPr>
          <w:rFonts w:hint="default" w:ascii="Times New Roman" w:hAnsi="Times New Roman" w:cs="Times New Roman"/>
          <w:color w:val="auto"/>
          <w:highlight w:val="none"/>
        </w:rPr>
        <w:t>应用本环境管理计划，对相关责任方进行环境管理培训的内容、时间等提出相关计划要求。</w:t>
      </w:r>
    </w:p>
    <w:p w14:paraId="605927A0">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场地环境管理计划</w:t>
      </w:r>
      <w:r>
        <w:rPr>
          <w:rFonts w:hint="default" w:ascii="Times New Roman" w:hAnsi="Times New Roman" w:cs="Times New Roman"/>
          <w:color w:val="auto"/>
          <w:highlight w:val="none"/>
        </w:rPr>
        <w:t>：</w:t>
      </w:r>
    </w:p>
    <w:p w14:paraId="69FDA780">
      <w:pPr>
        <w:rPr>
          <w:rFonts w:hint="default" w:ascii="Times New Roman" w:hAnsi="Times New Roman" w:cs="Times New Roman"/>
          <w:color w:val="auto"/>
          <w:highlight w:val="none"/>
        </w:rPr>
      </w:pPr>
      <w:r>
        <w:rPr>
          <w:rFonts w:hint="default" w:ascii="Times New Roman" w:hAnsi="Times New Roman" w:cs="Times New Roman"/>
          <w:color w:val="auto"/>
          <w:highlight w:val="none"/>
        </w:rPr>
        <w:t>在物料转移、</w:t>
      </w:r>
      <w:r>
        <w:rPr>
          <w:rFonts w:hint="default" w:ascii="Times New Roman" w:hAnsi="Times New Roman" w:cs="Times New Roman"/>
          <w:color w:val="auto"/>
          <w:highlight w:val="none"/>
          <w:lang w:val="en-US" w:eastAsia="zh-CN"/>
        </w:rPr>
        <w:t>生产线</w:t>
      </w:r>
      <w:r>
        <w:rPr>
          <w:rFonts w:hint="default" w:ascii="Times New Roman" w:hAnsi="Times New Roman" w:cs="Times New Roman"/>
          <w:color w:val="auto"/>
          <w:highlight w:val="none"/>
        </w:rPr>
        <w:t>拆除工作结束后，提出后续的环境管理建议。</w:t>
      </w:r>
    </w:p>
    <w:p w14:paraId="666DAF5C">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公众参与：</w:t>
      </w:r>
    </w:p>
    <w:p w14:paraId="3C017149">
      <w:pPr>
        <w:rPr>
          <w:rFonts w:hint="default" w:ascii="Times New Roman" w:hAnsi="Times New Roman" w:cs="Times New Roman"/>
          <w:color w:val="auto"/>
          <w:highlight w:val="none"/>
        </w:rPr>
      </w:pPr>
      <w:r>
        <w:rPr>
          <w:rFonts w:hint="default" w:ascii="Times New Roman" w:hAnsi="Times New Roman" w:cs="Times New Roman"/>
          <w:color w:val="auto"/>
          <w:highlight w:val="none"/>
        </w:rPr>
        <w:t>依照我国相关的环境影响评价公众参与管理办法以及世界银行的相关政策文件、指南文件，提出业主组织公众参与的形式、内容等要求。</w:t>
      </w:r>
    </w:p>
    <w:p w14:paraId="40F3AD6E">
      <w:pPr>
        <w:rPr>
          <w:rFonts w:hint="default" w:ascii="Times New Roman" w:hAnsi="Times New Roman" w:cs="Times New Roman"/>
          <w:color w:val="auto"/>
          <w:highlight w:val="none"/>
        </w:rPr>
      </w:pPr>
      <w:r>
        <w:rPr>
          <w:rFonts w:hint="default" w:ascii="Times New Roman" w:hAnsi="Times New Roman" w:cs="Times New Roman"/>
          <w:color w:val="auto"/>
          <w:highlight w:val="none"/>
        </w:rPr>
        <w:t>公众参与形式与内容：周边影响受众座谈会和平面媒体公示两种形式，公示HCFC-141b生产</w:t>
      </w:r>
      <w:r>
        <w:rPr>
          <w:rFonts w:hint="default" w:ascii="Times New Roman" w:hAnsi="Times New Roman" w:cs="Times New Roman"/>
          <w:color w:val="auto"/>
          <w:highlight w:val="none"/>
          <w:lang w:val="en-US" w:eastAsia="zh-CN"/>
        </w:rPr>
        <w:t>线</w:t>
      </w:r>
      <w:r>
        <w:rPr>
          <w:rFonts w:hint="default" w:ascii="Times New Roman" w:hAnsi="Times New Roman" w:cs="Times New Roman"/>
          <w:color w:val="auto"/>
          <w:highlight w:val="none"/>
        </w:rPr>
        <w:t>拆除项目环境管理计划。</w:t>
      </w:r>
    </w:p>
    <w:p w14:paraId="50B5F27D">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环境管理预算及进度安排：</w:t>
      </w:r>
    </w:p>
    <w:p w14:paraId="1AEA2621">
      <w:pPr>
        <w:rPr>
          <w:rFonts w:hint="default" w:ascii="Times New Roman" w:hAnsi="Times New Roman" w:cs="Times New Roman"/>
          <w:color w:val="auto"/>
          <w:highlight w:val="none"/>
        </w:rPr>
      </w:pPr>
      <w:r>
        <w:rPr>
          <w:rFonts w:hint="default" w:ascii="Times New Roman" w:hAnsi="Times New Roman" w:cs="Times New Roman"/>
          <w:color w:val="auto"/>
          <w:highlight w:val="none"/>
        </w:rPr>
        <w:t>本计划需与业主确定环境管理的预算，明确本项目的时间进度安排。</w:t>
      </w:r>
    </w:p>
    <w:p w14:paraId="48807DB9">
      <w:pPr>
        <w:pStyle w:val="3"/>
        <w:numPr>
          <w:ilvl w:val="1"/>
          <w:numId w:val="0"/>
        </w:numPr>
        <w:bidi w:val="0"/>
        <w:ind w:leftChars="0"/>
        <w:rPr>
          <w:rFonts w:hint="default" w:ascii="Times New Roman" w:hAnsi="Times New Roman" w:cs="Times New Roman"/>
          <w:color w:val="auto"/>
          <w:highlight w:val="none"/>
        </w:rPr>
      </w:pPr>
      <w:bookmarkStart w:id="41" w:name="_Toc406099805"/>
      <w:bookmarkStart w:id="42" w:name="_Toc4648"/>
      <w:bookmarkStart w:id="43" w:name="_Toc406099529"/>
      <w:bookmarkStart w:id="44" w:name="_Toc406099681"/>
      <w:r>
        <w:rPr>
          <w:rFonts w:hint="default" w:ascii="Times New Roman" w:hAnsi="Times New Roman" w:cs="Times New Roman"/>
          <w:color w:val="auto"/>
          <w:highlight w:val="none"/>
          <w:lang w:val="en-US" w:eastAsia="zh-CN"/>
        </w:rPr>
        <w:t xml:space="preserve">1.5 </w:t>
      </w:r>
      <w:r>
        <w:rPr>
          <w:rFonts w:hint="default" w:ascii="Times New Roman" w:hAnsi="Times New Roman" w:cs="Times New Roman"/>
          <w:color w:val="auto"/>
          <w:highlight w:val="none"/>
        </w:rPr>
        <w:t>编制依据</w:t>
      </w:r>
      <w:bookmarkEnd w:id="41"/>
      <w:bookmarkEnd w:id="42"/>
      <w:bookmarkEnd w:id="43"/>
      <w:bookmarkEnd w:id="44"/>
    </w:p>
    <w:p w14:paraId="366ABBAD">
      <w:pPr>
        <w:pStyle w:val="4"/>
        <w:numPr>
          <w:ilvl w:val="0"/>
          <w:numId w:val="0"/>
        </w:numPr>
        <w:bidi w:val="0"/>
        <w:ind w:leftChars="0"/>
        <w:rPr>
          <w:rFonts w:hint="default" w:ascii="Times New Roman" w:hAnsi="Times New Roman" w:cs="Times New Roman"/>
          <w:color w:val="auto"/>
          <w:highlight w:val="none"/>
        </w:rPr>
      </w:pPr>
      <w:bookmarkStart w:id="45" w:name="_Toc406099682"/>
      <w:bookmarkStart w:id="46" w:name="_Toc406099806"/>
      <w:bookmarkStart w:id="47" w:name="_Toc406099530"/>
      <w:bookmarkStart w:id="48" w:name="_Toc27534"/>
      <w:r>
        <w:rPr>
          <w:rFonts w:hint="default" w:ascii="Times New Roman" w:hAnsi="Times New Roman" w:cs="Times New Roman"/>
          <w:color w:val="auto"/>
          <w:highlight w:val="none"/>
          <w:lang w:val="en-US" w:eastAsia="zh-CN"/>
        </w:rPr>
        <w:t xml:space="preserve">1.5.1 </w:t>
      </w:r>
      <w:r>
        <w:rPr>
          <w:rFonts w:hint="default" w:ascii="Times New Roman" w:hAnsi="Times New Roman" w:cs="Times New Roman"/>
          <w:color w:val="auto"/>
          <w:highlight w:val="none"/>
        </w:rPr>
        <w:t>国家及地方法律法规</w:t>
      </w:r>
      <w:bookmarkEnd w:id="45"/>
      <w:bookmarkEnd w:id="46"/>
      <w:bookmarkEnd w:id="47"/>
      <w:r>
        <w:rPr>
          <w:rFonts w:hint="default" w:ascii="Times New Roman" w:hAnsi="Times New Roman" w:cs="Times New Roman"/>
          <w:color w:val="auto"/>
          <w:highlight w:val="none"/>
        </w:rPr>
        <w:t>、政策</w:t>
      </w:r>
      <w:bookmarkEnd w:id="48"/>
    </w:p>
    <w:p w14:paraId="1F1AD904">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《中华人民共和国环境保护法》（2015年1月1日）；</w:t>
      </w:r>
    </w:p>
    <w:p w14:paraId="144A2811">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《中华人民共和国土壤污染防治法》（2019年1月1日）</w:t>
      </w:r>
    </w:p>
    <w:p w14:paraId="05A52A82">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《中华人民共和国环境影响评价法》（2018年12月29日）；</w:t>
      </w:r>
    </w:p>
    <w:p w14:paraId="38E6D760">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《中华人民共和国水污染防治法》（2017年6月27日）；</w:t>
      </w:r>
    </w:p>
    <w:p w14:paraId="31E9CFFE">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《中华人民共和国大气污染防治法》（2018年10月26日）；</w:t>
      </w:r>
    </w:p>
    <w:p w14:paraId="21AFBFBC">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《中华人民共和国环境噪声污染防治法》（1997年3月1日）；</w:t>
      </w:r>
    </w:p>
    <w:p w14:paraId="0C4C4B11">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《中华人民共和国固体废弃物污染环境防治法》（2016年11月7日）；</w:t>
      </w:r>
    </w:p>
    <w:p w14:paraId="05A2AB8F">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《土壤污染防治行动计划》（国发〔2016〕31号）；</w:t>
      </w:r>
    </w:p>
    <w:p w14:paraId="2DC68C1B">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《污染地块土壤环境管理办法（试行）》（2017年7月1日）；</w:t>
      </w:r>
    </w:p>
    <w:p w14:paraId="7BD4A55A">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《企业拆除活动污染防治技术规定（试行）》，环保部公告2017年78号；</w:t>
      </w:r>
    </w:p>
    <w:p w14:paraId="0B7F6948">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《企业设备、建（构）筑物拆除活动污染防治技术指南》（T/CAEPI16-2018）；</w:t>
      </w:r>
    </w:p>
    <w:p w14:paraId="5592FB50">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《国家危险废物名录》（</w:t>
      </w:r>
      <w:r>
        <w:rPr>
          <w:rFonts w:hint="default" w:ascii="Times New Roman" w:hAnsi="Times New Roman" w:cs="Times New Roman"/>
          <w:color w:val="auto"/>
          <w:highlight w:val="none"/>
          <w:lang w:val="en-US" w:eastAsia="zh-CN"/>
        </w:rPr>
        <w:t>2025版</w:t>
      </w:r>
      <w:r>
        <w:rPr>
          <w:rFonts w:hint="default" w:ascii="Times New Roman" w:hAnsi="Times New Roman" w:cs="Times New Roman"/>
          <w:color w:val="auto"/>
          <w:highlight w:val="none"/>
        </w:rPr>
        <w:t>）；</w:t>
      </w:r>
    </w:p>
    <w:p w14:paraId="0A9A903B">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《危险化学品安全管理条例》（2013年12月7日）；</w:t>
      </w:r>
    </w:p>
    <w:p w14:paraId="4036395E">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《消耗臭氧层物质管理条例》（国务院令第573号）；</w:t>
      </w:r>
    </w:p>
    <w:p w14:paraId="42F3A4FE">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《环境影响评价公众参与暂行办法》（2019年1月1日）；</w:t>
      </w:r>
    </w:p>
    <w:p w14:paraId="27479F4C">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《企业事业单位突发环境事件应急预案备案管理办法（试行）》（环发〔2015〕4号）；</w:t>
      </w:r>
    </w:p>
    <w:p w14:paraId="09DA0336">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《突发环境事件信息报告办法》（2011年5月1日）；</w:t>
      </w:r>
    </w:p>
    <w:p w14:paraId="729D95A8">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《建筑拆除工程安全技术规范》（JGJ 147）；</w:t>
      </w:r>
    </w:p>
    <w:p w14:paraId="46A0D180">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《绿色施工导则》（建质〔2007〕223号）</w:t>
      </w:r>
      <w:r>
        <w:rPr>
          <w:rFonts w:hint="default" w:ascii="Times New Roman" w:hAnsi="Times New Roman" w:cs="Times New Roman"/>
          <w:color w:val="auto"/>
          <w:highlight w:val="none"/>
          <w:lang w:eastAsia="zh-CN"/>
        </w:rPr>
        <w:t>；</w:t>
      </w:r>
    </w:p>
    <w:p w14:paraId="0372C65D">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《建设项目环境保护管理条例》（201</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月</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日）；</w:t>
      </w:r>
    </w:p>
    <w:p w14:paraId="7CAFAFC6">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color w:val="auto"/>
        </w:rPr>
      </w:pPr>
      <w:r>
        <w:rPr>
          <w:rFonts w:hint="default"/>
          <w:color w:val="auto"/>
        </w:rPr>
        <w:t>《江苏省固体废物污染环境防治条例》（</w:t>
      </w:r>
      <w:r>
        <w:rPr>
          <w:color w:val="auto"/>
        </w:rPr>
        <w:t>，2024年11月28日第三次修正。新条例于2025年3月1日起施行。</w:t>
      </w:r>
      <w:r>
        <w:rPr>
          <w:rFonts w:hint="default"/>
          <w:color w:val="auto"/>
        </w:rPr>
        <w:t>）；</w:t>
      </w:r>
    </w:p>
    <w:p w14:paraId="4B6B113D">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《江苏省大气污染防治条例》（2018年11月23日</w:t>
      </w:r>
      <w:r>
        <w:rPr>
          <w:rFonts w:hint="eastAsia" w:ascii="Times New Roman" w:hAnsi="Times New Roman" w:cs="Times New Roman"/>
          <w:color w:val="auto"/>
          <w:highlight w:val="none"/>
          <w:lang w:val="en-US" w:eastAsia="zh-CN"/>
        </w:rPr>
        <w:t>第二次修正</w:t>
      </w:r>
      <w:r>
        <w:rPr>
          <w:rFonts w:hint="default" w:ascii="Times New Roman" w:hAnsi="Times New Roman" w:cs="Times New Roman"/>
          <w:color w:val="auto"/>
          <w:highlight w:val="none"/>
        </w:rPr>
        <w:t>）；</w:t>
      </w:r>
    </w:p>
    <w:p w14:paraId="3170110D">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《江苏省</w:t>
      </w:r>
      <w:bookmarkStart w:id="49" w:name="OLE_LINK1"/>
      <w:r>
        <w:rPr>
          <w:rFonts w:hint="default" w:ascii="Times New Roman" w:hAnsi="Times New Roman" w:cs="Times New Roman"/>
          <w:color w:val="auto"/>
          <w:highlight w:val="none"/>
          <w:lang w:val="en-US" w:eastAsia="zh-CN"/>
        </w:rPr>
        <w:t>水污染防治条例</w:t>
      </w:r>
      <w:bookmarkEnd w:id="49"/>
      <w:r>
        <w:rPr>
          <w:rFonts w:hint="default" w:ascii="Times New Roman" w:hAnsi="Times New Roman" w:cs="Times New Roman"/>
          <w:color w:val="auto"/>
          <w:highlight w:val="none"/>
          <w:lang w:val="en-US" w:eastAsia="zh-CN"/>
        </w:rPr>
        <w:t>》（2021年5月1日）；</w:t>
      </w:r>
    </w:p>
    <w:p w14:paraId="3DC46E9F">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《江苏省土壤污染防治条例》（2022年3月31日）</w:t>
      </w:r>
    </w:p>
    <w:p w14:paraId="0D30689C">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《江苏省</w:t>
      </w:r>
      <w:bookmarkStart w:id="50" w:name="OLE_LINK2"/>
      <w:r>
        <w:rPr>
          <w:rFonts w:hint="default" w:ascii="Times New Roman" w:hAnsi="Times New Roman" w:cs="Times New Roman"/>
          <w:color w:val="auto"/>
          <w:highlight w:val="none"/>
          <w:lang w:val="en-US" w:eastAsia="zh-CN"/>
        </w:rPr>
        <w:t>突发环境事件应急预案</w:t>
      </w:r>
      <w:bookmarkEnd w:id="50"/>
      <w:r>
        <w:rPr>
          <w:rFonts w:hint="default" w:ascii="Times New Roman" w:hAnsi="Times New Roman" w:cs="Times New Roman"/>
          <w:color w:val="auto"/>
          <w:highlight w:val="none"/>
          <w:lang w:val="en-US" w:eastAsia="zh-CN"/>
        </w:rPr>
        <w:t>》（2020年3月13日）</w:t>
      </w:r>
      <w:r>
        <w:rPr>
          <w:rFonts w:hint="eastAsia" w:cs="Times New Roman"/>
          <w:color w:val="auto"/>
          <w:highlight w:val="none"/>
          <w:lang w:val="en-US" w:eastAsia="zh-CN"/>
        </w:rPr>
        <w:t>；</w:t>
      </w:r>
    </w:p>
    <w:p w14:paraId="772B79C5">
      <w:pPr>
        <w:keepNext w:val="0"/>
        <w:keepLines w:val="0"/>
        <w:pageBreakBefore w:val="0"/>
        <w:widowControl w:val="0"/>
        <w:numPr>
          <w:ilvl w:val="0"/>
          <w:numId w:val="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环境影响评价制度：</w:t>
      </w:r>
    </w:p>
    <w:p w14:paraId="41917DFD">
      <w:pPr>
        <w:rPr>
          <w:rFonts w:hint="default" w:ascii="Times New Roman" w:hAnsi="Times New Roman" w:cs="Times New Roman"/>
          <w:color w:val="auto"/>
          <w:highlight w:val="none"/>
        </w:rPr>
      </w:pPr>
      <w:r>
        <w:rPr>
          <w:rFonts w:hint="default" w:ascii="Times New Roman" w:hAnsi="Times New Roman" w:cs="Times New Roman"/>
          <w:color w:val="auto"/>
          <w:highlight w:val="none"/>
        </w:rPr>
        <w:t>本HCFC-141b生产线关闭拆除项目属于退役期环境影响，并且不涉及放射性污染问题。根据我国相关环境影响评价的法律法规文件，本次生产线拆除项目无需进行环境影响评价。</w:t>
      </w:r>
    </w:p>
    <w:p w14:paraId="2FDA5396">
      <w:pPr>
        <w:pStyle w:val="4"/>
        <w:numPr>
          <w:ilvl w:val="0"/>
          <w:numId w:val="0"/>
        </w:numPr>
        <w:bidi w:val="0"/>
        <w:ind w:leftChars="0"/>
        <w:rPr>
          <w:rFonts w:hint="default" w:ascii="Times New Roman" w:hAnsi="Times New Roman" w:cs="Times New Roman"/>
          <w:color w:val="auto"/>
          <w:highlight w:val="none"/>
        </w:rPr>
      </w:pPr>
      <w:bookmarkStart w:id="51" w:name="_Toc406099684"/>
      <w:bookmarkStart w:id="52" w:name="_Toc406099808"/>
      <w:bookmarkStart w:id="53" w:name="_Toc23642"/>
      <w:bookmarkStart w:id="54" w:name="_Toc406099532"/>
      <w:r>
        <w:rPr>
          <w:rFonts w:hint="default" w:ascii="Times New Roman" w:hAnsi="Times New Roman" w:cs="Times New Roman"/>
          <w:color w:val="auto"/>
          <w:highlight w:val="none"/>
          <w:lang w:val="en-US" w:eastAsia="zh-CN"/>
        </w:rPr>
        <w:t xml:space="preserve">1.5.2 </w:t>
      </w:r>
      <w:r>
        <w:rPr>
          <w:rFonts w:hint="default" w:ascii="Times New Roman" w:hAnsi="Times New Roman" w:cs="Times New Roman"/>
          <w:color w:val="auto"/>
          <w:highlight w:val="none"/>
        </w:rPr>
        <w:t>世界银行相关规定</w:t>
      </w:r>
      <w:bookmarkEnd w:id="51"/>
      <w:bookmarkEnd w:id="52"/>
      <w:bookmarkEnd w:id="53"/>
      <w:bookmarkEnd w:id="54"/>
    </w:p>
    <w:p w14:paraId="336A88CD">
      <w:pPr>
        <w:bidi w:val="0"/>
        <w:rPr>
          <w:rFonts w:hint="default" w:ascii="Times New Roman" w:hAnsi="Times New Roman" w:cs="Times New Roman"/>
          <w:color w:val="auto"/>
          <w:highlight w:val="none"/>
        </w:rPr>
      </w:pPr>
      <w:bookmarkStart w:id="55" w:name="_Toc406099535"/>
      <w:bookmarkStart w:id="56" w:name="_Toc406099687"/>
      <w:bookmarkStart w:id="57" w:name="_Toc406099811"/>
      <w:r>
        <w:rPr>
          <w:rFonts w:hint="default" w:ascii="Times New Roman" w:hAnsi="Times New Roman" w:cs="Times New Roman"/>
          <w:color w:val="auto"/>
          <w:highlight w:val="none"/>
        </w:rPr>
        <w:t>依照本项目的类别及编制目的，本项目还将遵守世界银行</w:t>
      </w:r>
      <w:r>
        <w:rPr>
          <w:rFonts w:hint="default" w:ascii="Times New Roman" w:hAnsi="Times New Roman" w:cs="Times New Roman"/>
          <w:color w:val="auto"/>
          <w:highlight w:val="none"/>
          <w:lang w:val="en-US" w:eastAsia="zh-CN"/>
        </w:rPr>
        <w:t>环境和社会框架与</w:t>
      </w:r>
      <w:r>
        <w:rPr>
          <w:rFonts w:hint="default" w:ascii="Times New Roman" w:hAnsi="Times New Roman" w:cs="Times New Roman"/>
          <w:color w:val="auto"/>
          <w:highlight w:val="none"/>
        </w:rPr>
        <w:t>世界银行安全保障政策，</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合规情况如表</w:t>
      </w:r>
      <w:r>
        <w:rPr>
          <w:rFonts w:hint="default" w:ascii="Times New Roman" w:hAnsi="Times New Roman" w:cs="Times New Roman"/>
          <w:color w:val="auto"/>
          <w:highlight w:val="none"/>
          <w:lang w:val="en-US" w:eastAsia="zh-CN"/>
        </w:rPr>
        <w:t>1.5-1</w:t>
      </w:r>
      <w:r>
        <w:rPr>
          <w:rFonts w:hint="default" w:ascii="Times New Roman" w:hAnsi="Times New Roman" w:cs="Times New Roman"/>
          <w:color w:val="auto"/>
          <w:highlight w:val="none"/>
        </w:rPr>
        <w:t>所示。</w:t>
      </w:r>
    </w:p>
    <w:p w14:paraId="033FFB49">
      <w:pPr>
        <w:pStyle w:val="46"/>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1.5-1</w:t>
      </w:r>
      <w:r>
        <w:rPr>
          <w:rFonts w:hint="default" w:ascii="Times New Roman" w:hAnsi="Times New Roman" w:cs="Times New Roman"/>
          <w:color w:val="auto"/>
          <w:highlight w:val="none"/>
        </w:rPr>
        <w:t xml:space="preserve"> 本项目合规</w:t>
      </w:r>
      <w:r>
        <w:rPr>
          <w:rFonts w:hint="eastAsia" w:ascii="Times New Roman" w:hAnsi="Times New Roman" w:cs="Times New Roman"/>
          <w:color w:val="auto"/>
          <w:highlight w:val="none"/>
          <w:lang w:val="en-US" w:eastAsia="zh-CN"/>
        </w:rPr>
        <w:t>要求</w:t>
      </w:r>
    </w:p>
    <w:tbl>
      <w:tblPr>
        <w:tblStyle w:val="29"/>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4"/>
        <w:gridCol w:w="1540"/>
        <w:gridCol w:w="1531"/>
        <w:gridCol w:w="4563"/>
      </w:tblGrid>
      <w:tr w14:paraId="2029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blHeader/>
          <w:jc w:val="center"/>
        </w:trPr>
        <w:tc>
          <w:tcPr>
            <w:tcW w:w="487" w:type="pct"/>
            <w:shd w:val="clear" w:color="auto" w:fill="auto"/>
            <w:vAlign w:val="center"/>
          </w:tcPr>
          <w:p w14:paraId="6744D084">
            <w:pPr>
              <w:pStyle w:val="45"/>
              <w:bidi w:val="0"/>
              <w:rPr>
                <w:rFonts w:hint="default"/>
              </w:rPr>
            </w:pPr>
            <w:r>
              <w:rPr>
                <w:rFonts w:hint="default"/>
              </w:rPr>
              <w:t>序号</w:t>
            </w:r>
          </w:p>
        </w:tc>
        <w:tc>
          <w:tcPr>
            <w:tcW w:w="1815" w:type="pct"/>
            <w:gridSpan w:val="2"/>
            <w:shd w:val="clear" w:color="auto" w:fill="auto"/>
            <w:vAlign w:val="center"/>
          </w:tcPr>
          <w:p w14:paraId="649D0798">
            <w:pPr>
              <w:pStyle w:val="45"/>
              <w:bidi w:val="0"/>
              <w:rPr>
                <w:rFonts w:hint="eastAsia"/>
                <w:lang w:val="en-US" w:eastAsia="zh-CN"/>
              </w:rPr>
            </w:pPr>
            <w:r>
              <w:rPr>
                <w:rFonts w:hint="default"/>
                <w:lang w:val="en-US" w:eastAsia="zh-CN"/>
              </w:rPr>
              <w:t>文件</w:t>
            </w:r>
            <w:r>
              <w:rPr>
                <w:rFonts w:hint="default"/>
              </w:rPr>
              <w:t>名称</w:t>
            </w:r>
          </w:p>
        </w:tc>
        <w:tc>
          <w:tcPr>
            <w:tcW w:w="2697" w:type="pct"/>
            <w:shd w:val="clear" w:color="auto" w:fill="auto"/>
            <w:vAlign w:val="center"/>
          </w:tcPr>
          <w:p w14:paraId="48BD2819">
            <w:pPr>
              <w:pStyle w:val="45"/>
              <w:bidi w:val="0"/>
              <w:rPr>
                <w:rFonts w:hint="eastAsia"/>
                <w:lang w:eastAsia="zh-CN"/>
              </w:rPr>
            </w:pPr>
            <w:r>
              <w:rPr>
                <w:rFonts w:hint="eastAsia"/>
                <w:lang w:val="en-US" w:eastAsia="zh-CN"/>
              </w:rPr>
              <w:t>要求</w:t>
            </w:r>
          </w:p>
        </w:tc>
      </w:tr>
      <w:tr w14:paraId="05C4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shd w:val="clear" w:color="auto" w:fill="auto"/>
            <w:vAlign w:val="center"/>
          </w:tcPr>
          <w:p w14:paraId="7E8BE96C">
            <w:pPr>
              <w:pStyle w:val="45"/>
              <w:bidi w:val="0"/>
              <w:rPr>
                <w:rFonts w:hint="default"/>
                <w:lang w:eastAsia="zh-CN"/>
              </w:rPr>
            </w:pPr>
            <w:r>
              <w:rPr>
                <w:rFonts w:hint="default"/>
                <w:lang w:val="en-US" w:eastAsia="zh-CN"/>
              </w:rPr>
              <w:t>1</w:t>
            </w:r>
          </w:p>
        </w:tc>
        <w:tc>
          <w:tcPr>
            <w:tcW w:w="1815" w:type="pct"/>
            <w:gridSpan w:val="2"/>
            <w:shd w:val="clear" w:color="auto" w:fill="auto"/>
            <w:vAlign w:val="center"/>
          </w:tcPr>
          <w:p w14:paraId="123B4B50">
            <w:pPr>
              <w:pStyle w:val="45"/>
              <w:bidi w:val="0"/>
              <w:rPr>
                <w:rFonts w:hint="default"/>
              </w:rPr>
            </w:pPr>
            <w:r>
              <w:rPr>
                <w:rFonts w:hint="default"/>
              </w:rPr>
              <w:t>OP/BP17.50</w:t>
            </w:r>
          </w:p>
          <w:p w14:paraId="0D981389">
            <w:pPr>
              <w:pStyle w:val="45"/>
              <w:bidi w:val="0"/>
              <w:rPr>
                <w:rFonts w:hint="default"/>
              </w:rPr>
            </w:pPr>
            <w:r>
              <w:rPr>
                <w:rFonts w:hint="default"/>
              </w:rPr>
              <w:t>《</w:t>
            </w:r>
            <w:r>
              <w:rPr>
                <w:rFonts w:hint="default"/>
                <w:lang w:val="en-US" w:eastAsia="zh-CN"/>
              </w:rPr>
              <w:t>业务信息公开</w:t>
            </w:r>
            <w:r>
              <w:rPr>
                <w:rFonts w:hint="default"/>
              </w:rPr>
              <w:t>》</w:t>
            </w:r>
            <w:r>
              <w:rPr>
                <w:rFonts w:hint="default"/>
                <w:lang w:eastAsia="zh-CN"/>
              </w:rPr>
              <w:t>《</w:t>
            </w:r>
            <w:r>
              <w:rPr>
                <w:rFonts w:hint="default"/>
                <w:lang w:val="en-US" w:eastAsia="zh-CN"/>
              </w:rPr>
              <w:t>信息获取》</w:t>
            </w:r>
          </w:p>
        </w:tc>
        <w:tc>
          <w:tcPr>
            <w:tcW w:w="2697" w:type="pct"/>
            <w:shd w:val="clear" w:color="auto" w:fill="auto"/>
            <w:vAlign w:val="center"/>
          </w:tcPr>
          <w:p w14:paraId="19BE81A0">
            <w:pPr>
              <w:pStyle w:val="45"/>
              <w:bidi w:val="0"/>
              <w:rPr>
                <w:rFonts w:hint="default"/>
              </w:rPr>
            </w:pPr>
            <w:r>
              <w:rPr>
                <w:rFonts w:hint="default"/>
              </w:rPr>
              <w:t>项目必须在所在国及世界银行信息网站披露关键信息。</w:t>
            </w:r>
          </w:p>
        </w:tc>
      </w:tr>
      <w:tr w14:paraId="4680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vMerge w:val="restart"/>
            <w:shd w:val="clear" w:color="auto" w:fill="auto"/>
            <w:vAlign w:val="center"/>
          </w:tcPr>
          <w:p w14:paraId="5EF1634B">
            <w:pPr>
              <w:pStyle w:val="45"/>
              <w:bidi w:val="0"/>
              <w:rPr>
                <w:rFonts w:hint="default"/>
                <w:lang w:val="en-US" w:eastAsia="zh-CN"/>
              </w:rPr>
            </w:pPr>
            <w:r>
              <w:rPr>
                <w:rFonts w:hint="default"/>
                <w:lang w:val="en-US" w:eastAsia="zh-CN"/>
              </w:rPr>
              <w:t>2</w:t>
            </w:r>
          </w:p>
        </w:tc>
        <w:tc>
          <w:tcPr>
            <w:tcW w:w="910" w:type="pct"/>
            <w:vMerge w:val="restart"/>
            <w:shd w:val="clear" w:color="auto" w:fill="auto"/>
            <w:vAlign w:val="center"/>
          </w:tcPr>
          <w:p w14:paraId="474C8C3D">
            <w:pPr>
              <w:pStyle w:val="45"/>
              <w:bidi w:val="0"/>
              <w:rPr>
                <w:rFonts w:hint="default"/>
              </w:rPr>
            </w:pPr>
            <w:r>
              <w:rPr>
                <w:rFonts w:hint="default"/>
              </w:rPr>
              <w:t>世界银行</w:t>
            </w:r>
            <w:r>
              <w:rPr>
                <w:rFonts w:hint="default"/>
                <w:lang w:val="en-US" w:eastAsia="zh-CN"/>
              </w:rPr>
              <w:t>环境和社会框架</w:t>
            </w:r>
          </w:p>
        </w:tc>
        <w:tc>
          <w:tcPr>
            <w:tcW w:w="904" w:type="pct"/>
            <w:shd w:val="clear" w:color="auto" w:fill="auto"/>
            <w:vAlign w:val="center"/>
          </w:tcPr>
          <w:p w14:paraId="0BFF9D99">
            <w:pPr>
              <w:pStyle w:val="45"/>
              <w:bidi w:val="0"/>
              <w:rPr>
                <w:rFonts w:hint="eastAsia"/>
                <w:lang w:val="en-US" w:eastAsia="zh-CN"/>
              </w:rPr>
            </w:pPr>
            <w:r>
              <w:rPr>
                <w:rFonts w:hint="eastAsia"/>
                <w:lang w:val="en-US" w:eastAsia="zh-CN"/>
              </w:rPr>
              <w:t>能源利用</w:t>
            </w:r>
          </w:p>
        </w:tc>
        <w:tc>
          <w:tcPr>
            <w:tcW w:w="2697" w:type="pct"/>
            <w:shd w:val="clear" w:color="auto" w:fill="auto"/>
            <w:vAlign w:val="center"/>
          </w:tcPr>
          <w:p w14:paraId="6F7F1BE2">
            <w:pPr>
              <w:pStyle w:val="45"/>
              <w:bidi w:val="0"/>
              <w:rPr>
                <w:rFonts w:hint="default"/>
              </w:rPr>
            </w:pPr>
            <w:r>
              <w:rPr>
                <w:lang w:val="en-US" w:eastAsia="zh-CN"/>
              </w:rPr>
              <w:t>能源的有效利用是借款国可以为可持续发展做出贡献</w:t>
            </w:r>
            <w:r>
              <w:rPr>
                <w:rFonts w:hint="default"/>
                <w:lang w:val="en-US" w:eastAsia="zh-CN"/>
              </w:rPr>
              <w:t>的重要途径。如果项目可能消耗大量能源，那么除了需要满足本《环境和社会标准》有关资源效率的要求之外，借款国还应在技术和经济可行的前提下采取《环境、健康和安全指南》中指定的措施来优化能源使用。</w:t>
            </w:r>
          </w:p>
        </w:tc>
      </w:tr>
      <w:tr w14:paraId="5667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vMerge w:val="continue"/>
            <w:shd w:val="clear" w:color="auto" w:fill="auto"/>
            <w:vAlign w:val="center"/>
          </w:tcPr>
          <w:p w14:paraId="3483E73A">
            <w:pPr>
              <w:pStyle w:val="45"/>
              <w:bidi w:val="0"/>
              <w:rPr>
                <w:rFonts w:hint="default"/>
                <w:lang w:val="en-US" w:eastAsia="zh-CN"/>
              </w:rPr>
            </w:pPr>
          </w:p>
        </w:tc>
        <w:tc>
          <w:tcPr>
            <w:tcW w:w="910" w:type="pct"/>
            <w:vMerge w:val="continue"/>
            <w:shd w:val="clear" w:color="auto" w:fill="auto"/>
            <w:vAlign w:val="center"/>
          </w:tcPr>
          <w:p w14:paraId="3CFC0A37">
            <w:pPr>
              <w:pStyle w:val="45"/>
              <w:bidi w:val="0"/>
              <w:rPr>
                <w:rFonts w:hint="default"/>
              </w:rPr>
            </w:pPr>
          </w:p>
        </w:tc>
        <w:tc>
          <w:tcPr>
            <w:tcW w:w="904" w:type="pct"/>
            <w:shd w:val="clear" w:color="auto" w:fill="auto"/>
            <w:vAlign w:val="center"/>
          </w:tcPr>
          <w:p w14:paraId="2DB73D3C">
            <w:pPr>
              <w:pStyle w:val="45"/>
              <w:bidi w:val="0"/>
              <w:rPr>
                <w:rFonts w:hint="default"/>
              </w:rPr>
            </w:pPr>
            <w:r>
              <w:rPr>
                <w:rFonts w:hint="eastAsia"/>
                <w:lang w:val="en-US" w:eastAsia="zh-CN"/>
              </w:rPr>
              <w:t>水利用</w:t>
            </w:r>
          </w:p>
        </w:tc>
        <w:tc>
          <w:tcPr>
            <w:tcW w:w="2697" w:type="pct"/>
            <w:shd w:val="clear" w:color="auto" w:fill="auto"/>
            <w:vAlign w:val="center"/>
          </w:tcPr>
          <w:p w14:paraId="018C42CA">
            <w:pPr>
              <w:pStyle w:val="45"/>
              <w:bidi w:val="0"/>
              <w:rPr>
                <w:rFonts w:hint="default"/>
              </w:rPr>
            </w:pPr>
            <w:r>
              <w:rPr>
                <w:lang w:val="en-US" w:eastAsia="zh-CN"/>
              </w:rPr>
              <w:t>如果项目可能消耗大量水资源或对水质产生潜在重大</w:t>
            </w:r>
            <w:r>
              <w:rPr>
                <w:rFonts w:hint="default"/>
                <w:lang w:val="en-US" w:eastAsia="zh-CN"/>
              </w:rPr>
              <w:t>影响，那么除了需要满足本《环境和社会标准》有关资源效率的要求之外，借款国还应在技术和经济可行的前提下采取措施来避免或最大程度降低耗水量，使项目不至于对社区、其他用户和环境造成重大不利影响。</w:t>
            </w:r>
          </w:p>
        </w:tc>
      </w:tr>
      <w:tr w14:paraId="2027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vMerge w:val="continue"/>
            <w:shd w:val="clear" w:color="auto" w:fill="auto"/>
            <w:vAlign w:val="center"/>
          </w:tcPr>
          <w:p w14:paraId="22F9A131">
            <w:pPr>
              <w:pStyle w:val="45"/>
              <w:bidi w:val="0"/>
              <w:rPr>
                <w:rFonts w:hint="default"/>
                <w:lang w:val="en-US" w:eastAsia="zh-CN"/>
              </w:rPr>
            </w:pPr>
          </w:p>
        </w:tc>
        <w:tc>
          <w:tcPr>
            <w:tcW w:w="910" w:type="pct"/>
            <w:vMerge w:val="continue"/>
            <w:shd w:val="clear" w:color="auto" w:fill="auto"/>
            <w:vAlign w:val="center"/>
          </w:tcPr>
          <w:p w14:paraId="4EF398AE">
            <w:pPr>
              <w:pStyle w:val="45"/>
              <w:bidi w:val="0"/>
              <w:rPr>
                <w:rFonts w:hint="default"/>
              </w:rPr>
            </w:pPr>
          </w:p>
        </w:tc>
        <w:tc>
          <w:tcPr>
            <w:tcW w:w="904" w:type="pct"/>
            <w:vMerge w:val="restart"/>
            <w:shd w:val="clear" w:color="auto" w:fill="auto"/>
            <w:vAlign w:val="center"/>
          </w:tcPr>
          <w:p w14:paraId="75CEDE87">
            <w:pPr>
              <w:pStyle w:val="45"/>
              <w:bidi w:val="0"/>
              <w:rPr>
                <w:rFonts w:hint="default"/>
                <w:lang w:val="en-US" w:eastAsia="zh-CN"/>
              </w:rPr>
            </w:pPr>
            <w:r>
              <w:rPr>
                <w:rFonts w:hint="eastAsia"/>
                <w:lang w:val="en-US" w:eastAsia="zh-CN"/>
              </w:rPr>
              <w:t>污染物预防和管理</w:t>
            </w:r>
          </w:p>
        </w:tc>
        <w:tc>
          <w:tcPr>
            <w:tcW w:w="2697" w:type="pct"/>
            <w:shd w:val="clear" w:color="auto" w:fill="auto"/>
            <w:vAlign w:val="center"/>
          </w:tcPr>
          <w:p w14:paraId="0A68A7E9">
            <w:pPr>
              <w:pStyle w:val="45"/>
              <w:bidi w:val="0"/>
              <w:rPr>
                <w:rFonts w:hint="default"/>
              </w:rPr>
            </w:pPr>
            <w:r>
              <w:rPr>
                <w:lang w:val="en-US" w:eastAsia="zh-CN"/>
              </w:rPr>
              <w:t>借款国应避免排放污染物，若无法避免，则应根据国</w:t>
            </w:r>
            <w:r>
              <w:rPr>
                <w:rFonts w:hint="default"/>
                <w:lang w:val="en-US" w:eastAsia="zh-CN"/>
              </w:rPr>
              <w:t>家法律或《环境、健康和安全指南》（以更严格者为准）中规定的绩效等级和措施最大限度地降低或控制排放浓度和总量。</w:t>
            </w:r>
          </w:p>
        </w:tc>
      </w:tr>
      <w:tr w14:paraId="0A11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vMerge w:val="continue"/>
            <w:shd w:val="clear" w:color="auto" w:fill="auto"/>
            <w:vAlign w:val="center"/>
          </w:tcPr>
          <w:p w14:paraId="4BE219BC">
            <w:pPr>
              <w:pStyle w:val="45"/>
              <w:bidi w:val="0"/>
              <w:rPr>
                <w:rFonts w:hint="default"/>
              </w:rPr>
            </w:pPr>
          </w:p>
        </w:tc>
        <w:tc>
          <w:tcPr>
            <w:tcW w:w="910" w:type="pct"/>
            <w:vMerge w:val="continue"/>
            <w:shd w:val="clear" w:color="auto" w:fill="auto"/>
            <w:vAlign w:val="center"/>
          </w:tcPr>
          <w:p w14:paraId="633C7335">
            <w:pPr>
              <w:pStyle w:val="45"/>
              <w:bidi w:val="0"/>
              <w:rPr>
                <w:rFonts w:hint="default"/>
              </w:rPr>
            </w:pPr>
          </w:p>
        </w:tc>
        <w:tc>
          <w:tcPr>
            <w:tcW w:w="904" w:type="pct"/>
            <w:vMerge w:val="continue"/>
            <w:shd w:val="clear" w:color="auto" w:fill="auto"/>
            <w:vAlign w:val="center"/>
          </w:tcPr>
          <w:p w14:paraId="2F2ABBAE">
            <w:pPr>
              <w:pStyle w:val="45"/>
              <w:bidi w:val="0"/>
              <w:rPr>
                <w:lang w:val="en-US" w:eastAsia="zh-CN"/>
              </w:rPr>
            </w:pPr>
          </w:p>
        </w:tc>
        <w:tc>
          <w:tcPr>
            <w:tcW w:w="2697" w:type="pct"/>
            <w:shd w:val="clear" w:color="auto" w:fill="auto"/>
            <w:vAlign w:val="center"/>
          </w:tcPr>
          <w:p w14:paraId="2644D41E">
            <w:pPr>
              <w:pStyle w:val="45"/>
              <w:bidi w:val="0"/>
              <w:rPr>
                <w:rFonts w:hint="default"/>
              </w:rPr>
            </w:pPr>
            <w:r>
              <w:rPr>
                <w:lang w:val="en-US" w:eastAsia="zh-CN"/>
              </w:rPr>
              <w:t>若项目涉及历史性污染，</w:t>
            </w:r>
            <w:r>
              <w:rPr>
                <w:rFonts w:hint="default"/>
                <w:lang w:val="en-US" w:eastAsia="zh-CN"/>
              </w:rPr>
              <w:t>借款国应制定相关程序确定责任方。若历史性污染可能对人体健康或环境构成重大威胁，借款国应针对威胁社区、工作人员和环境污染开展健康和安全风险分析。项目现场的任何整治应适当地符合国家法律和良好国际行业实践（以更严格者为准）</w:t>
            </w:r>
          </w:p>
        </w:tc>
      </w:tr>
      <w:tr w14:paraId="75FC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vMerge w:val="continue"/>
            <w:shd w:val="clear" w:color="auto" w:fill="auto"/>
            <w:vAlign w:val="center"/>
          </w:tcPr>
          <w:p w14:paraId="44FAC420">
            <w:pPr>
              <w:pStyle w:val="45"/>
              <w:bidi w:val="0"/>
              <w:rPr>
                <w:rFonts w:hint="default"/>
              </w:rPr>
            </w:pPr>
          </w:p>
        </w:tc>
        <w:tc>
          <w:tcPr>
            <w:tcW w:w="910" w:type="pct"/>
            <w:vMerge w:val="continue"/>
            <w:shd w:val="clear" w:color="auto" w:fill="auto"/>
            <w:vAlign w:val="center"/>
          </w:tcPr>
          <w:p w14:paraId="21F6BFC2">
            <w:pPr>
              <w:pStyle w:val="45"/>
              <w:bidi w:val="0"/>
              <w:rPr>
                <w:rFonts w:hint="default"/>
              </w:rPr>
            </w:pPr>
          </w:p>
        </w:tc>
        <w:tc>
          <w:tcPr>
            <w:tcW w:w="904" w:type="pct"/>
            <w:shd w:val="clear" w:color="auto" w:fill="auto"/>
            <w:vAlign w:val="center"/>
          </w:tcPr>
          <w:p w14:paraId="5E3E3839">
            <w:pPr>
              <w:pStyle w:val="45"/>
              <w:bidi w:val="0"/>
              <w:rPr>
                <w:rFonts w:hint="default"/>
                <w:lang w:val="en-US" w:eastAsia="zh-CN"/>
              </w:rPr>
            </w:pPr>
            <w:r>
              <w:rPr>
                <w:rFonts w:hint="eastAsia"/>
                <w:lang w:val="en-US" w:eastAsia="zh-CN"/>
              </w:rPr>
              <w:t>大气污染管理</w:t>
            </w:r>
          </w:p>
        </w:tc>
        <w:tc>
          <w:tcPr>
            <w:tcW w:w="2697" w:type="pct"/>
            <w:shd w:val="clear" w:color="auto" w:fill="auto"/>
            <w:vAlign w:val="center"/>
          </w:tcPr>
          <w:p w14:paraId="0677B5A5">
            <w:pPr>
              <w:pStyle w:val="45"/>
              <w:bidi w:val="0"/>
              <w:rPr>
                <w:rFonts w:hint="default"/>
              </w:rPr>
            </w:pPr>
            <w:r>
              <w:rPr>
                <w:lang w:val="en-US" w:eastAsia="zh-CN"/>
              </w:rPr>
              <w:t>作为环境和社会评价的一部分，借款国应描述和估计</w:t>
            </w:r>
            <w:r>
              <w:rPr>
                <w:rFonts w:hint="default"/>
                <w:lang w:val="en-US" w:eastAsia="zh-CN"/>
              </w:rPr>
              <w:t>与项目相关的大气污染源</w:t>
            </w:r>
            <w:r>
              <w:rPr>
                <w:rFonts w:hint="eastAsia"/>
                <w:lang w:val="en-US" w:eastAsia="zh-CN"/>
              </w:rPr>
              <w:t>。</w:t>
            </w:r>
          </w:p>
        </w:tc>
      </w:tr>
      <w:tr w14:paraId="4E9F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vMerge w:val="continue"/>
            <w:shd w:val="clear" w:color="auto" w:fill="auto"/>
            <w:vAlign w:val="center"/>
          </w:tcPr>
          <w:p w14:paraId="5A0BB9FB">
            <w:pPr>
              <w:pStyle w:val="45"/>
              <w:bidi w:val="0"/>
              <w:rPr>
                <w:rFonts w:hint="default"/>
              </w:rPr>
            </w:pPr>
          </w:p>
        </w:tc>
        <w:tc>
          <w:tcPr>
            <w:tcW w:w="910" w:type="pct"/>
            <w:vMerge w:val="continue"/>
            <w:shd w:val="clear" w:color="auto" w:fill="auto"/>
            <w:vAlign w:val="center"/>
          </w:tcPr>
          <w:p w14:paraId="501BB3AC">
            <w:pPr>
              <w:pStyle w:val="45"/>
              <w:bidi w:val="0"/>
              <w:rPr>
                <w:rFonts w:hint="default"/>
              </w:rPr>
            </w:pPr>
          </w:p>
        </w:tc>
        <w:tc>
          <w:tcPr>
            <w:tcW w:w="904" w:type="pct"/>
            <w:shd w:val="clear" w:color="auto" w:fill="auto"/>
            <w:vAlign w:val="center"/>
          </w:tcPr>
          <w:p w14:paraId="36D0D2DB">
            <w:pPr>
              <w:pStyle w:val="45"/>
              <w:bidi w:val="0"/>
              <w:rPr>
                <w:rFonts w:hint="default"/>
              </w:rPr>
            </w:pPr>
            <w:r>
              <w:rPr>
                <w:lang w:val="en-US" w:eastAsia="zh-CN"/>
              </w:rPr>
              <w:t>有害和无害废物管理</w:t>
            </w:r>
          </w:p>
        </w:tc>
        <w:tc>
          <w:tcPr>
            <w:tcW w:w="2697" w:type="pct"/>
            <w:shd w:val="clear" w:color="auto" w:fill="auto"/>
            <w:vAlign w:val="center"/>
          </w:tcPr>
          <w:p w14:paraId="51654892">
            <w:pPr>
              <w:pStyle w:val="45"/>
              <w:bidi w:val="0"/>
            </w:pPr>
            <w:r>
              <w:rPr>
                <w:lang w:val="en-US" w:eastAsia="zh-CN"/>
              </w:rPr>
              <w:t>借款国应避免产生有害或无害废物</w:t>
            </w:r>
            <w:r>
              <w:rPr>
                <w:rFonts w:hint="default"/>
                <w:lang w:val="en-US" w:eastAsia="zh-CN"/>
              </w:rPr>
              <w:t xml:space="preserve">。在无法避免的情况下，借款国应最大限度减少废弃物的产生，并采用对人体健康和环境安全无害的方式将废弃物进行回收和重新利用。如果废弃物无法重新利用、回收或恢复，借款国应采用对环境无害且安全的方式对其进行处理、销毁或处置，其中包括适当控制废弃物处理和处置过程中产生的排放物和残留物。 </w:t>
            </w:r>
          </w:p>
          <w:p w14:paraId="76ED5856">
            <w:pPr>
              <w:pStyle w:val="45"/>
              <w:bidi w:val="0"/>
              <w:rPr>
                <w:rFonts w:hint="default"/>
              </w:rPr>
            </w:pPr>
            <w:r>
              <w:rPr>
                <w:rFonts w:hint="default"/>
                <w:lang w:val="en-US" w:eastAsia="zh-CN"/>
              </w:rPr>
              <w:t>若产生的废弃物具有危害性，借款国应遵守现有的有害废物管理（包括存放、运输和处置）要求（包括国家法令和适用的国际惯例），包括跨境转运相关的规定。若无上述要求，借款国应采用良好国际行业实践备选方案，用于环保安全管理和处置。如果有害废物的管理由第三方执行，借款国应选用信誉良好的合法企业作为承包商，而且所用的承包商应获得相关政府监管机构对此类废物运输和处置方面的许可，并需要取得直达最终处置地的一系列监管文件。借款国应确认持证废物处置场按照可接受的标准运行并确认其位置。如果许可的处置场不符合可接受的</w:t>
            </w:r>
            <w:r>
              <w:rPr>
                <w:lang w:val="en-US" w:eastAsia="zh-CN"/>
              </w:rPr>
              <w:t>标准，借款国应最大限度减少送往此类处置场的废物量并</w:t>
            </w:r>
            <w:r>
              <w:rPr>
                <w:rFonts w:hint="default"/>
                <w:lang w:val="en-US" w:eastAsia="zh-CN"/>
              </w:rPr>
              <w:t>考虑替代处置方案，其中包括考虑在项目地点或其他任何地方建立自己的回收或处理设施的可能性。</w:t>
            </w:r>
          </w:p>
        </w:tc>
      </w:tr>
      <w:tr w14:paraId="5B9A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7" w:type="pct"/>
            <w:vMerge w:val="continue"/>
            <w:shd w:val="clear" w:color="auto" w:fill="auto"/>
            <w:vAlign w:val="center"/>
          </w:tcPr>
          <w:p w14:paraId="5FE93387">
            <w:pPr>
              <w:pStyle w:val="45"/>
              <w:bidi w:val="0"/>
              <w:rPr>
                <w:rFonts w:hint="default"/>
              </w:rPr>
            </w:pPr>
          </w:p>
        </w:tc>
        <w:tc>
          <w:tcPr>
            <w:tcW w:w="910" w:type="pct"/>
            <w:vMerge w:val="continue"/>
            <w:shd w:val="clear" w:color="auto" w:fill="auto"/>
            <w:vAlign w:val="center"/>
          </w:tcPr>
          <w:p w14:paraId="0C34BDF0">
            <w:pPr>
              <w:pStyle w:val="45"/>
              <w:bidi w:val="0"/>
              <w:rPr>
                <w:rFonts w:hint="default"/>
              </w:rPr>
            </w:pPr>
          </w:p>
        </w:tc>
        <w:tc>
          <w:tcPr>
            <w:tcW w:w="904" w:type="pct"/>
            <w:shd w:val="clear" w:color="auto" w:fill="auto"/>
            <w:vAlign w:val="center"/>
          </w:tcPr>
          <w:p w14:paraId="75A2BA6D">
            <w:pPr>
              <w:pStyle w:val="45"/>
              <w:bidi w:val="0"/>
              <w:rPr>
                <w:rFonts w:hint="default"/>
              </w:rPr>
            </w:pPr>
            <w:r>
              <w:rPr>
                <w:lang w:val="en-US" w:eastAsia="zh-CN"/>
              </w:rPr>
              <w:t>化学品和危险品管理</w:t>
            </w:r>
          </w:p>
        </w:tc>
        <w:tc>
          <w:tcPr>
            <w:tcW w:w="2697" w:type="pct"/>
            <w:shd w:val="clear" w:color="auto" w:fill="auto"/>
            <w:vAlign w:val="center"/>
          </w:tcPr>
          <w:p w14:paraId="0FDE5D10">
            <w:pPr>
              <w:pStyle w:val="45"/>
              <w:bidi w:val="0"/>
            </w:pPr>
            <w:r>
              <w:rPr>
                <w:lang w:val="en-US" w:eastAsia="zh-CN"/>
              </w:rPr>
              <w:t>借款国应避免生产、交易和使用国际禁令、限制令或</w:t>
            </w:r>
            <w:r>
              <w:rPr>
                <w:rFonts w:hint="default"/>
                <w:lang w:val="en-US" w:eastAsia="zh-CN"/>
              </w:rPr>
              <w:t xml:space="preserve">淘汰令禁止的化学品和危险品，除非用于公约或协议中规定的可接受目的，或借款国得到豁免后；并且须与适用的国际协议项下的借款国政府承诺的保持一致。 </w:t>
            </w:r>
          </w:p>
          <w:p w14:paraId="4070477B">
            <w:pPr>
              <w:pStyle w:val="45"/>
              <w:bidi w:val="0"/>
              <w:rPr>
                <w:rFonts w:hint="default"/>
              </w:rPr>
            </w:pPr>
            <w:r>
              <w:rPr>
                <w:rFonts w:hint="default"/>
                <w:lang w:val="en-US" w:eastAsia="zh-CN"/>
              </w:rPr>
              <w:t>借款国应最大限度地减少和控制危险品的排放和使用。项目进行过程中危险品的生产、运输、搬运、储藏和使用应经过环境和社会评价。在制造过程或其它运行中需要使用危险品的情况下，借款国应考虑使用危险性较小的替代品。</w:t>
            </w:r>
          </w:p>
        </w:tc>
      </w:tr>
      <w:tr w14:paraId="4BC9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vMerge w:val="continue"/>
            <w:shd w:val="clear" w:color="auto" w:fill="auto"/>
            <w:vAlign w:val="center"/>
          </w:tcPr>
          <w:p w14:paraId="1AC8A60A">
            <w:pPr>
              <w:pStyle w:val="45"/>
              <w:bidi w:val="0"/>
              <w:rPr>
                <w:rFonts w:hint="default"/>
              </w:rPr>
            </w:pPr>
          </w:p>
        </w:tc>
        <w:tc>
          <w:tcPr>
            <w:tcW w:w="910" w:type="pct"/>
            <w:vMerge w:val="continue"/>
            <w:shd w:val="clear" w:color="auto" w:fill="auto"/>
            <w:vAlign w:val="center"/>
          </w:tcPr>
          <w:p w14:paraId="2CB71962">
            <w:pPr>
              <w:pStyle w:val="45"/>
              <w:bidi w:val="0"/>
              <w:rPr>
                <w:rFonts w:hint="default"/>
              </w:rPr>
            </w:pPr>
          </w:p>
        </w:tc>
        <w:tc>
          <w:tcPr>
            <w:tcW w:w="904" w:type="pct"/>
            <w:shd w:val="clear" w:color="auto" w:fill="auto"/>
            <w:vAlign w:val="center"/>
          </w:tcPr>
          <w:p w14:paraId="7007C4E6">
            <w:pPr>
              <w:pStyle w:val="45"/>
              <w:bidi w:val="0"/>
              <w:rPr>
                <w:rFonts w:hint="default"/>
              </w:rPr>
            </w:pPr>
            <w:r>
              <w:rPr>
                <w:lang w:val="en-US" w:eastAsia="zh-CN"/>
              </w:rPr>
              <w:t>农药管理</w:t>
            </w:r>
          </w:p>
        </w:tc>
        <w:tc>
          <w:tcPr>
            <w:tcW w:w="2697" w:type="pct"/>
            <w:shd w:val="clear" w:color="auto" w:fill="auto"/>
            <w:vAlign w:val="center"/>
          </w:tcPr>
          <w:p w14:paraId="79662135">
            <w:pPr>
              <w:pStyle w:val="45"/>
              <w:bidi w:val="0"/>
              <w:rPr>
                <w:rFonts w:hint="default"/>
              </w:rPr>
            </w:pPr>
            <w:r>
              <w:rPr>
                <w:lang w:val="en-US" w:eastAsia="zh-CN"/>
              </w:rPr>
              <w:t>若项目需要采用病虫害管理措施，借款国应采用综合</w:t>
            </w:r>
            <w:r>
              <w:rPr>
                <w:rFonts w:hint="default"/>
                <w:lang w:val="en-US" w:eastAsia="zh-CN"/>
              </w:rPr>
              <w:t>性或多样性策略，优先选择病虫害综合管理或病媒综合管理方法。</w:t>
            </w:r>
          </w:p>
        </w:tc>
      </w:tr>
    </w:tbl>
    <w:p w14:paraId="38017374">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本项目同样执行世界银行</w:t>
      </w:r>
      <w:bookmarkStart w:id="58" w:name="OLE_LINK30"/>
      <w:r>
        <w:rPr>
          <w:rFonts w:hint="default" w:ascii="Times New Roman" w:hAnsi="Times New Roman" w:cs="Times New Roman"/>
          <w:color w:val="auto"/>
          <w:highlight w:val="none"/>
        </w:rPr>
        <w:t>《环境、健康与安全指南》</w:t>
      </w:r>
      <w:bookmarkEnd w:id="58"/>
      <w:r>
        <w:rPr>
          <w:rFonts w:hint="default" w:ascii="Times New Roman" w:hAnsi="Times New Roman" w:cs="Times New Roman"/>
          <w:color w:val="auto"/>
          <w:highlight w:val="none"/>
        </w:rPr>
        <w:t>的相关规定</w:t>
      </w:r>
      <w:r>
        <w:rPr>
          <w:rFonts w:hint="eastAsia" w:cs="Times New Roman"/>
          <w:color w:val="auto"/>
          <w:highlight w:val="none"/>
          <w:lang w:eastAsia="zh-CN"/>
        </w:rPr>
        <w:t>，</w:t>
      </w:r>
      <w:r>
        <w:rPr>
          <w:rFonts w:cs="Times New Roman"/>
        </w:rPr>
        <w:t>本环境管理计划所包含的环境缓解措施完全符合《环境、健康与安全指南》的要求</w:t>
      </w:r>
      <w:r>
        <w:rPr>
          <w:rFonts w:hint="default" w:ascii="Times New Roman" w:hAnsi="Times New Roman" w:cs="Times New Roman"/>
          <w:color w:val="auto"/>
          <w:highlight w:val="none"/>
          <w:lang w:eastAsia="zh-CN"/>
        </w:rPr>
        <w:t>。</w:t>
      </w:r>
    </w:p>
    <w:p w14:paraId="3A05CF0C">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噪声和振动</w:t>
      </w:r>
    </w:p>
    <w:p w14:paraId="16C4ACD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施工和项目拆除活动中，由于操作打桩机、土方移动和挖掘设备、水泥搅拌机、起重机、设备移动、材料运送、人员输送，可能导致噪声和振动。在接近当地社区的地区，建议考虑采用以下方法减少和控制噪声：</w:t>
      </w:r>
    </w:p>
    <w:p w14:paraId="2A25F89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与当地社区共同对项目活动进行规划，将这可能产生噪声的活动安排在一天中影响最小的时间；</w:t>
      </w:r>
    </w:p>
    <w:p w14:paraId="407186A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采用噪声控制装置（例如在由打击和爆破活动的地点采用临时性噪声障碍和挡板，在内燃机排气管上加装消音器）；</w:t>
      </w:r>
    </w:p>
    <w:p w14:paraId="0EA8120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避免和减少项目运输车辆通过社区的情况。</w:t>
      </w:r>
    </w:p>
    <w:p w14:paraId="38B31FCA">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空气质量</w:t>
      </w:r>
    </w:p>
    <w:p w14:paraId="173C017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进行项目施工和项目拆除工作期间，可能因为现场挖掘和移动土方、施工机械与土壤接触、土壤和土堆受到风吹而导致尘土飞扬。每一个排放来源是土方移动设备的柴油机排出的废气，以及现场固体废弃物露天燃烧形成的烟雾。在进行项目施工和项目拆除工作期间，为了减少和控制对空气中排放废弃物，可考虑采取以下措施：</w:t>
      </w:r>
    </w:p>
    <w:p w14:paraId="5066B7B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减少来自材料处理来源的灰尘（其中包括输送带和容器），采用盖子和/或控制设备（喷水、用袋子罩住、吸尘）；</w:t>
      </w:r>
    </w:p>
    <w:p w14:paraId="13A7E99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减少来自空旷场地来源的灰尘（包括储料堆），使用各种控制措施，包括修建围墙、加以遮盖、增加潮湿成分；</w:t>
      </w:r>
    </w:p>
    <w:p w14:paraId="5CCA4BC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应当采用各种除尘方法，例如喷水或非毒性化学剂，减少车辆往来扬起的灰尘；</w:t>
      </w:r>
    </w:p>
    <w:p w14:paraId="096D27E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在拆毁基础设施之前，有选择地去除危险的空气污染物（例如石棉）；</w:t>
      </w:r>
    </w:p>
    <w:p w14:paraId="0184D47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根据《环境、健康与安全指南》第1.1节管理来自移动来源的排放物；</w:t>
      </w:r>
    </w:p>
    <w:p w14:paraId="750DA8E6">
      <w:pPr>
        <w:bidi w:val="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避免在露天焚烧固体废弃物（请参阅《环境、健康与安全指南》第1.6节关于固体废弃物管理的指南）。</w:t>
      </w:r>
    </w:p>
    <w:p w14:paraId="00097C6F">
      <w:pPr>
        <w:spacing w:beforeLines="0" w:afterLines="0"/>
        <w:jc w:val="left"/>
        <w:rPr>
          <w:rFonts w:hint="default" w:ascii="Times New Roman" w:hAnsi="Times New Roman" w:eastAsia="ArialUnicodeMS" w:cs="Times New Roman"/>
          <w:b/>
          <w:bCs/>
          <w:color w:val="auto"/>
          <w:sz w:val="24"/>
          <w:highlight w:val="none"/>
        </w:rPr>
      </w:pPr>
      <w:r>
        <w:rPr>
          <w:rFonts w:hint="default" w:ascii="Times New Roman" w:hAnsi="Times New Roman" w:eastAsia="ArialUnicodeMS" w:cs="Times New Roman"/>
          <w:b/>
          <w:bCs/>
          <w:color w:val="auto"/>
          <w:sz w:val="24"/>
          <w:highlight w:val="none"/>
          <w:lang w:val="en-US" w:eastAsia="zh-CN"/>
        </w:rPr>
        <w:t>3、</w:t>
      </w:r>
      <w:r>
        <w:rPr>
          <w:rFonts w:hint="default" w:ascii="Times New Roman" w:hAnsi="Times New Roman" w:eastAsia="ArialUnicodeMS" w:cs="Times New Roman"/>
          <w:b/>
          <w:bCs/>
          <w:color w:val="auto"/>
          <w:sz w:val="24"/>
          <w:highlight w:val="none"/>
        </w:rPr>
        <w:t>固体废弃物</w:t>
      </w:r>
    </w:p>
    <w:p w14:paraId="2ABB542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和项目拆除现场产生的无危险固体废弃物包括：土地平整和挖掘工作中剩余的填充材料、废气的木头和技术、泄漏的少量水泥。其他无危险固体废弃物包括：施工项目办公室、厨房、宿舍的废弃物。危险固体废弃物包括：被污染的土壤（施工现场可能遇到以前土地使用中污染的土壤）、少量及其保养材料（例如油污的抹布、废弃的滤油器、废弃的油料、油料和燃料泄漏物清除物。预防和控制非危险和危险施工现场固体废弃物的方法已在《环境、健康与安全指南》第1.6节中说明。</w:t>
      </w:r>
    </w:p>
    <w:p w14:paraId="41668A76">
      <w:pPr>
        <w:spacing w:beforeLines="0" w:afterLines="0"/>
        <w:jc w:val="left"/>
        <w:rPr>
          <w:rFonts w:hint="default" w:ascii="Times New Roman" w:hAnsi="Times New Roman" w:eastAsia="ArialUnicodeMS" w:cs="Times New Roman"/>
          <w:b/>
          <w:bCs/>
          <w:color w:val="auto"/>
          <w:sz w:val="24"/>
          <w:highlight w:val="none"/>
        </w:rPr>
      </w:pPr>
      <w:r>
        <w:rPr>
          <w:rFonts w:hint="default" w:ascii="Times New Roman" w:hAnsi="Times New Roman" w:eastAsia="ArialUnicodeMS" w:cs="Times New Roman"/>
          <w:b/>
          <w:bCs/>
          <w:color w:val="auto"/>
          <w:sz w:val="24"/>
          <w:highlight w:val="none"/>
          <w:lang w:val="en-US" w:eastAsia="zh-CN"/>
        </w:rPr>
        <w:t>4、</w:t>
      </w:r>
      <w:r>
        <w:rPr>
          <w:rFonts w:hint="default" w:ascii="Times New Roman" w:hAnsi="Times New Roman" w:eastAsia="ArialUnicodeMS" w:cs="Times New Roman"/>
          <w:b/>
          <w:bCs/>
          <w:color w:val="auto"/>
          <w:sz w:val="24"/>
          <w:highlight w:val="none"/>
        </w:rPr>
        <w:t>危险物质</w:t>
      </w:r>
    </w:p>
    <w:p w14:paraId="441976C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和项目拆除活动可能导致排放石油产品（例如润滑油、液压油、燃料），来源可能是存放处、运输过程、设备使用过程。这些材料在项目拆除工作中也可能遇到，例如来自建筑物的组成部分和工业加工设备。预防、减少、控制此类影响的措施包括：</w:t>
      </w:r>
    </w:p>
    <w:p w14:paraId="74C8B60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对燃料储存罐和其他液体材料（例如润滑油和液压油）的临时储存地点建立充分的第二道防线；</w:t>
      </w:r>
    </w:p>
    <w:p w14:paraId="1E5D11E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在加油站和其他输送液体材料的地点采用不渗透的表面；</w:t>
      </w:r>
    </w:p>
    <w:p w14:paraId="487826E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培训工人用正确方法输送和搬运燃料及化学品，并对泄漏事件作出正确处理；</w:t>
      </w:r>
    </w:p>
    <w:p w14:paraId="5D18D0B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在现场提供手提式泄漏物阻挡和清除设备，并训练员工使用设备；</w:t>
      </w:r>
    </w:p>
    <w:p w14:paraId="65E1824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建筑物系统中的危险物质内容和石油产品（例如含有PCB的电力设备、含有石棉的建筑材料）和流程设备进行评估，在开始项目拆除活动之前将这些物品去除，并分别根据有关危险物质和危险物质管理的第1.5节和第1.6节加以处理和弃置；</w:t>
      </w:r>
    </w:p>
    <w:p w14:paraId="034A597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评估建筑材料内部和外部存在的危险物质（例如含多氯联苯和石棉的地板材料和隔离材料），并消除污染或正确处理受污染的建筑材料。</w:t>
      </w:r>
    </w:p>
    <w:p w14:paraId="1A0A9E25">
      <w:pPr>
        <w:spacing w:beforeLines="0" w:afterLines="0"/>
        <w:jc w:val="left"/>
        <w:rPr>
          <w:rFonts w:hint="default" w:ascii="Times New Roman" w:hAnsi="Times New Roman" w:eastAsia="ArialUnicodeMS" w:cs="Times New Roman"/>
          <w:b/>
          <w:bCs/>
          <w:color w:val="auto"/>
          <w:sz w:val="24"/>
          <w:highlight w:val="none"/>
        </w:rPr>
      </w:pPr>
      <w:r>
        <w:rPr>
          <w:rFonts w:hint="default" w:ascii="Times New Roman" w:hAnsi="Times New Roman" w:eastAsia="ArialUnicodeMS" w:cs="Times New Roman"/>
          <w:b/>
          <w:bCs/>
          <w:color w:val="auto"/>
          <w:sz w:val="24"/>
          <w:highlight w:val="none"/>
          <w:lang w:val="en-US" w:eastAsia="zh-CN"/>
        </w:rPr>
        <w:t>5、</w:t>
      </w:r>
      <w:r>
        <w:rPr>
          <w:rFonts w:hint="default" w:ascii="Times New Roman" w:hAnsi="Times New Roman" w:eastAsia="ArialUnicodeMS" w:cs="Times New Roman"/>
          <w:b/>
          <w:bCs/>
          <w:color w:val="auto"/>
          <w:sz w:val="24"/>
          <w:highlight w:val="none"/>
        </w:rPr>
        <w:t>废水排放</w:t>
      </w:r>
    </w:p>
    <w:p w14:paraId="2F537CF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和项目拆除活动可能产生卫生废水排放（数量取决于项目工人的数目）。在所有施工现场都应该为工人提供充足的临时性或永久性卫生设施。在施工现场和其他现场产生的卫生废水应当根据第1.3节的说明加以处理。</w:t>
      </w:r>
    </w:p>
    <w:p w14:paraId="16843514">
      <w:pPr>
        <w:bidi w:val="0"/>
        <w:rPr>
          <w:rFonts w:hint="default" w:ascii="Times New Roman" w:hAnsi="Times New Roman" w:cs="Times New Roman"/>
          <w:b/>
          <w:bCs/>
          <w:color w:val="auto"/>
          <w:highlight w:val="none"/>
        </w:rPr>
      </w:pPr>
      <w:r>
        <w:rPr>
          <w:rFonts w:hint="eastAsia" w:cs="Times New Roman"/>
          <w:b/>
          <w:bCs/>
          <w:color w:val="auto"/>
          <w:highlight w:val="none"/>
          <w:lang w:val="en-US" w:eastAsia="zh-CN"/>
        </w:rPr>
        <w:t>6、</w:t>
      </w:r>
      <w:r>
        <w:rPr>
          <w:rFonts w:hint="default" w:ascii="Times New Roman" w:hAnsi="Times New Roman" w:cs="Times New Roman"/>
          <w:b/>
          <w:bCs/>
          <w:color w:val="auto"/>
          <w:highlight w:val="none"/>
        </w:rPr>
        <w:t>受污染的土地</w:t>
      </w:r>
    </w:p>
    <w:p w14:paraId="3E26786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和项目拆除的现场可能遇到土地污染情况，原因可能是过去已知或未知的危险物质或油料释放，也可能是存在被放弃的基础设施（原来用于储存和处理此类物质），包括地下储存罐。究竟需要采取哪些行动来处理土地污染造成的风险取决于各种因素，包括污染的程度和地点、污染介质的种类和风险、土地的预定用途。然而，基本的处理方案应包括以下内容：</w:t>
      </w:r>
    </w:p>
    <w:p w14:paraId="631E1AE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在管理受污染介质方面，应力求保护现场人员、周围社区的安全和健康（包括项目施工和项目拆除工作完成之后）；</w:t>
      </w:r>
    </w:p>
    <w:p w14:paraId="1FCCAF8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了解以前土地的用途，查明项目施工或项目拆除活动开始之前可能已存在的危险物质或油料；</w:t>
      </w:r>
    </w:p>
    <w:p w14:paraId="13E755F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制订计划和程序，根据第1.6节中说明的受污染土地处理方法，对发现的受污染介质进行处理，减少对健康、安全、环境的风险；</w:t>
      </w:r>
    </w:p>
    <w:p w14:paraId="63B7803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制定管理计划，根据第1.6节中说明的危险废弃物管理方法管理过时、废弃、危险的物质和油料。</w:t>
      </w:r>
    </w:p>
    <w:p w14:paraId="64A8F5DE">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为了有效地执行管理计划，可能需要查明应对污染负责的责任方，并与其进行合作。</w:t>
      </w:r>
    </w:p>
    <w:p w14:paraId="6B337D3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本环境管理计划所包含的环境缓解措施完全符合《环境、健康与安全指南》的要求，相关的合规情况如表</w:t>
      </w:r>
      <w:r>
        <w:rPr>
          <w:rFonts w:hint="default" w:ascii="Times New Roman" w:hAnsi="Times New Roman" w:cs="Times New Roman"/>
          <w:color w:val="auto"/>
          <w:highlight w:val="none"/>
          <w:lang w:val="en-US" w:eastAsia="zh-CN"/>
        </w:rPr>
        <w:t>1.5-2</w:t>
      </w:r>
      <w:r>
        <w:rPr>
          <w:rFonts w:hint="default" w:ascii="Times New Roman" w:hAnsi="Times New Roman" w:cs="Times New Roman"/>
          <w:color w:val="auto"/>
          <w:highlight w:val="none"/>
        </w:rPr>
        <w:t>所示。</w:t>
      </w:r>
    </w:p>
    <w:p w14:paraId="7D7548B2">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1.5-2</w:t>
      </w:r>
      <w:r>
        <w:rPr>
          <w:rFonts w:hint="default" w:ascii="Times New Roman" w:hAnsi="Times New Roman" w:cs="Times New Roman"/>
          <w:color w:val="auto"/>
          <w:highlight w:val="none"/>
        </w:rPr>
        <w:t xml:space="preserve"> 本项目与世界银行《环境、健康与安全指南》的合规</w:t>
      </w:r>
      <w:r>
        <w:rPr>
          <w:rFonts w:hint="eastAsia" w:ascii="Times New Roman" w:hAnsi="Times New Roman" w:cs="Times New Roman"/>
          <w:color w:val="auto"/>
          <w:highlight w:val="none"/>
          <w:lang w:val="en-US" w:eastAsia="zh-CN"/>
        </w:rPr>
        <w:t>要求计划</w:t>
      </w:r>
      <w:r>
        <w:rPr>
          <w:rFonts w:hint="default" w:ascii="Times New Roman" w:hAnsi="Times New Roman" w:cs="Times New Roman"/>
          <w:color w:val="auto"/>
          <w:highlight w:val="none"/>
        </w:rPr>
        <w:t>一览表</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2"/>
        <w:gridCol w:w="4264"/>
      </w:tblGrid>
      <w:tr w14:paraId="5C10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blHeader/>
        </w:trPr>
        <w:tc>
          <w:tcPr>
            <w:tcW w:w="2499" w:type="pct"/>
            <w:shd w:val="clear" w:color="auto" w:fill="auto"/>
            <w:vAlign w:val="center"/>
          </w:tcPr>
          <w:p w14:paraId="1DF52081">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世界银行《环境、健康与安全指南》</w:t>
            </w:r>
          </w:p>
        </w:tc>
        <w:tc>
          <w:tcPr>
            <w:tcW w:w="2500" w:type="pct"/>
            <w:shd w:val="clear" w:color="auto" w:fill="auto"/>
            <w:vAlign w:val="center"/>
          </w:tcPr>
          <w:p w14:paraId="100E9D53">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环境影响评价/环境管理计划合规情况</w:t>
            </w:r>
          </w:p>
        </w:tc>
      </w:tr>
      <w:tr w14:paraId="768F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shd w:val="clear" w:color="auto" w:fill="auto"/>
            <w:vAlign w:val="center"/>
          </w:tcPr>
          <w:p w14:paraId="7A924CEC">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对于重大危险物质要求采取特别措施以防止火灾、爆炸、泄漏或溢漏等事故以及制定应急及响应预案的项目或设施。</w:t>
            </w:r>
          </w:p>
        </w:tc>
        <w:tc>
          <w:tcPr>
            <w:tcW w:w="2500" w:type="pct"/>
            <w:shd w:val="clear" w:color="auto" w:fill="auto"/>
            <w:vAlign w:val="center"/>
          </w:tcPr>
          <w:p w14:paraId="55B3E7E9">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已根据风险分析编制了环境应急计划，具体见第6章节。</w:t>
            </w:r>
          </w:p>
        </w:tc>
      </w:tr>
      <w:tr w14:paraId="25B1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shd w:val="clear" w:color="auto" w:fill="auto"/>
            <w:vAlign w:val="center"/>
          </w:tcPr>
          <w:p w14:paraId="58998913">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使用专门为储罐内物质准备的专用接头、管道和软管对危险物质进行转移。</w:t>
            </w:r>
          </w:p>
        </w:tc>
        <w:tc>
          <w:tcPr>
            <w:tcW w:w="2500" w:type="pct"/>
            <w:shd w:val="clear" w:color="auto" w:fill="auto"/>
            <w:vAlign w:val="center"/>
          </w:tcPr>
          <w:p w14:paraId="559E0012">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将采用专用接头、管道对原料进行转移。</w:t>
            </w:r>
          </w:p>
        </w:tc>
      </w:tr>
      <w:tr w14:paraId="2004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shd w:val="clear" w:color="auto" w:fill="auto"/>
            <w:vAlign w:val="center"/>
          </w:tcPr>
          <w:p w14:paraId="3A951B34">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使用与所转移物质的特性相容、专为确保安全转移而设计的适当转移设备。</w:t>
            </w:r>
          </w:p>
        </w:tc>
        <w:tc>
          <w:tcPr>
            <w:tcW w:w="2500" w:type="pct"/>
            <w:shd w:val="clear" w:color="auto" w:fill="auto"/>
            <w:vAlign w:val="center"/>
          </w:tcPr>
          <w:p w14:paraId="45B2C4C4">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拟选用相容设置对物料进行转移。</w:t>
            </w:r>
          </w:p>
        </w:tc>
      </w:tr>
      <w:tr w14:paraId="2629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shd w:val="clear" w:color="auto" w:fill="auto"/>
            <w:vAlign w:val="center"/>
          </w:tcPr>
          <w:p w14:paraId="288B2AA9">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与当地社区共同对项目活动进行规划，将这可能产生噪声的活动安排在一天中影响最小的时间，采用噪声控制装置。</w:t>
            </w:r>
          </w:p>
        </w:tc>
        <w:tc>
          <w:tcPr>
            <w:tcW w:w="2500" w:type="pct"/>
            <w:shd w:val="clear" w:color="auto" w:fill="auto"/>
            <w:vAlign w:val="center"/>
          </w:tcPr>
          <w:p w14:paraId="6B77943F">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拟对设备拆除时间安排在白天，夜间不施工。</w:t>
            </w:r>
          </w:p>
        </w:tc>
      </w:tr>
      <w:tr w14:paraId="146B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shd w:val="clear" w:color="auto" w:fill="auto"/>
            <w:vAlign w:val="center"/>
          </w:tcPr>
          <w:p w14:paraId="191C88B0">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了解之前可能对地下水及土壤产生的影响的泄露事故，查明项目实施开始之前可能已存在的危险物质。</w:t>
            </w:r>
          </w:p>
        </w:tc>
        <w:tc>
          <w:tcPr>
            <w:tcW w:w="2500" w:type="pct"/>
            <w:shd w:val="clear" w:color="auto" w:fill="auto"/>
            <w:vAlign w:val="center"/>
          </w:tcPr>
          <w:p w14:paraId="1DFC613D">
            <w:pPr>
              <w:pStyle w:val="45"/>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对场地易泄漏危险物质进行调查分析，具体见第4章；后续拟对土壤和地下水进行场地调查、风险评估，以及修复工作。</w:t>
            </w:r>
          </w:p>
        </w:tc>
      </w:tr>
    </w:tbl>
    <w:p w14:paraId="764D8264">
      <w:pPr>
        <w:pStyle w:val="4"/>
        <w:numPr>
          <w:ilvl w:val="0"/>
          <w:numId w:val="0"/>
        </w:numPr>
        <w:bidi w:val="0"/>
        <w:ind w:leftChars="0"/>
        <w:rPr>
          <w:rFonts w:hint="default" w:ascii="Times New Roman" w:hAnsi="Times New Roman" w:cs="Times New Roman"/>
          <w:color w:val="auto"/>
          <w:highlight w:val="none"/>
        </w:rPr>
      </w:pPr>
      <w:bookmarkStart w:id="59" w:name="_Toc9458"/>
      <w:r>
        <w:rPr>
          <w:rFonts w:hint="default" w:ascii="Times New Roman" w:hAnsi="Times New Roman" w:cs="Times New Roman"/>
          <w:color w:val="auto"/>
          <w:highlight w:val="none"/>
          <w:lang w:val="en-US" w:eastAsia="zh-CN"/>
        </w:rPr>
        <w:t xml:space="preserve">1.5.3 </w:t>
      </w:r>
      <w:r>
        <w:rPr>
          <w:rFonts w:hint="default" w:ascii="Times New Roman" w:hAnsi="Times New Roman" w:cs="Times New Roman"/>
          <w:color w:val="auto"/>
          <w:highlight w:val="none"/>
        </w:rPr>
        <w:t>项目支持文件</w:t>
      </w:r>
      <w:bookmarkEnd w:id="55"/>
      <w:bookmarkEnd w:id="56"/>
      <w:bookmarkEnd w:id="57"/>
      <w:bookmarkEnd w:id="59"/>
    </w:p>
    <w:p w14:paraId="75FF0F40">
      <w:pPr>
        <w:keepNext w:val="0"/>
        <w:keepLines w:val="0"/>
        <w:pageBreakBefore w:val="0"/>
        <w:widowControl w:val="0"/>
        <w:numPr>
          <w:ilvl w:val="0"/>
          <w:numId w:val="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lang w:val="en-US" w:eastAsia="zh-CN"/>
        </w:rPr>
        <w:t>有限公司</w:t>
      </w:r>
      <w:r>
        <w:rPr>
          <w:rFonts w:hint="default" w:ascii="Times New Roman" w:hAnsi="Times New Roman" w:cs="Times New Roman"/>
          <w:color w:val="auto"/>
          <w:highlight w:val="none"/>
        </w:rPr>
        <w:t>年产3000吨三氟氯乙烯扩建项目及年产30000吨1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1-二氯-1-氟乙烷搬迁技改项目的环境影响评价</w:t>
      </w:r>
      <w:r>
        <w:rPr>
          <w:rFonts w:hint="default" w:ascii="Times New Roman" w:hAnsi="Times New Roman" w:cs="Times New Roman"/>
          <w:color w:val="auto"/>
          <w:highlight w:val="none"/>
          <w:lang w:val="en-US" w:eastAsia="zh-CN"/>
        </w:rPr>
        <w:t>报告书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（江苏南大戈德环保科技有限公司，200</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eastAsia="zh-CN"/>
        </w:rPr>
        <w:t>（</w:t>
      </w:r>
      <w:r>
        <w:rPr>
          <w:rFonts w:hint="eastAsia" w:cs="Times New Roman"/>
          <w:color w:val="auto"/>
          <w:highlight w:val="none"/>
          <w:lang w:val="en-US" w:eastAsia="zh-CN"/>
        </w:rPr>
        <w:t>含企业生产和环保设施等资料</w:t>
      </w:r>
      <w:r>
        <w:rPr>
          <w:rFonts w:hint="eastAsia" w:cs="Times New Roman"/>
          <w:color w:val="auto"/>
          <w:highlight w:val="none"/>
          <w:lang w:eastAsia="zh-CN"/>
        </w:rPr>
        <w:t>）</w:t>
      </w:r>
      <w:r>
        <w:rPr>
          <w:rFonts w:hint="default" w:ascii="Times New Roman" w:hAnsi="Times New Roman" w:cs="Times New Roman"/>
          <w:color w:val="auto"/>
          <w:highlight w:val="none"/>
        </w:rPr>
        <w:t>；</w:t>
      </w:r>
    </w:p>
    <w:p w14:paraId="344E25E3">
      <w:pPr>
        <w:keepNext w:val="0"/>
        <w:keepLines w:val="0"/>
        <w:pageBreakBefore w:val="0"/>
        <w:widowControl w:val="0"/>
        <w:numPr>
          <w:ilvl w:val="0"/>
          <w:numId w:val="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常熟三爱富氟化工有限责任公司年产6000吨偏氟乙烯（VDF）、副产品32500吨盐酸技改项目岩土工程勘察报告</w:t>
      </w:r>
      <w:r>
        <w:rPr>
          <w:rFonts w:hint="default" w:ascii="Times New Roman" w:hAnsi="Times New Roman" w:cs="Times New Roman"/>
          <w:color w:val="auto"/>
          <w:highlight w:val="none"/>
          <w:lang w:val="en-US" w:eastAsia="zh-CN"/>
        </w:rPr>
        <w:t>》；</w:t>
      </w:r>
    </w:p>
    <w:p w14:paraId="51EF8FA5">
      <w:pPr>
        <w:keepNext w:val="0"/>
        <w:keepLines w:val="0"/>
        <w:pageBreakBefore w:val="0"/>
        <w:widowControl w:val="0"/>
        <w:numPr>
          <w:ilvl w:val="0"/>
          <w:numId w:val="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常熟三爱富氟化工有限责任公司2025年度HCFCs生产线关闭项目实施方案</w:t>
      </w:r>
      <w:r>
        <w:rPr>
          <w:rFonts w:hint="default" w:ascii="Times New Roman" w:hAnsi="Times New Roman" w:cs="Times New Roman"/>
          <w:color w:val="auto"/>
          <w:highlight w:val="none"/>
          <w:lang w:val="en-US" w:eastAsia="zh-CN"/>
        </w:rPr>
        <w:t>》</w:t>
      </w:r>
    </w:p>
    <w:p w14:paraId="7B39976C">
      <w:pPr>
        <w:keepNext w:val="0"/>
        <w:keepLines w:val="0"/>
        <w:pageBreakBefore w:val="0"/>
        <w:widowControl w:val="0"/>
        <w:numPr>
          <w:ilvl w:val="0"/>
          <w:numId w:val="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rPr>
        <w:t>常熟</w:t>
      </w:r>
      <w:r>
        <w:rPr>
          <w:rFonts w:hint="default" w:ascii="Times New Roman" w:hAnsi="Times New Roman" w:cs="Times New Roman"/>
          <w:color w:val="auto"/>
          <w:highlight w:val="none"/>
        </w:rPr>
        <w:t>三爱富氟化工F1</w:t>
      </w:r>
      <w:r>
        <w:rPr>
          <w:rFonts w:hint="default" w:ascii="Times New Roman" w:hAnsi="Times New Roman" w:cs="Times New Roman"/>
          <w:color w:val="auto"/>
          <w:highlight w:val="none"/>
          <w:lang w:val="en-US"/>
        </w:rPr>
        <w:t>41b</w:t>
      </w:r>
      <w:r>
        <w:rPr>
          <w:rFonts w:hint="default" w:ascii="Times New Roman" w:hAnsi="Times New Roman" w:cs="Times New Roman"/>
          <w:color w:val="auto"/>
          <w:highlight w:val="none"/>
        </w:rPr>
        <w:t>装置拆除活动污染防治方案</w:t>
      </w:r>
      <w:r>
        <w:rPr>
          <w:rFonts w:hint="default" w:ascii="Times New Roman" w:hAnsi="Times New Roman" w:cs="Times New Roman"/>
          <w:color w:val="auto"/>
          <w:highlight w:val="none"/>
          <w:lang w:val="en-US" w:eastAsia="zh-CN"/>
        </w:rPr>
        <w:t>》。</w:t>
      </w:r>
    </w:p>
    <w:p w14:paraId="08753B90">
      <w:pPr>
        <w:pStyle w:val="4"/>
        <w:numPr>
          <w:ilvl w:val="0"/>
          <w:numId w:val="0"/>
        </w:numPr>
        <w:bidi w:val="0"/>
        <w:ind w:leftChars="0"/>
        <w:rPr>
          <w:rFonts w:hint="default" w:ascii="Times New Roman" w:hAnsi="Times New Roman" w:cs="Times New Roman"/>
          <w:color w:val="auto"/>
          <w:highlight w:val="none"/>
        </w:rPr>
      </w:pPr>
      <w:bookmarkStart w:id="60" w:name="_Toc406099536"/>
      <w:bookmarkStart w:id="61" w:name="_Toc406099688"/>
      <w:bookmarkStart w:id="62" w:name="_Toc1123"/>
      <w:bookmarkStart w:id="63" w:name="_Toc406099812"/>
      <w:r>
        <w:rPr>
          <w:rFonts w:hint="default" w:ascii="Times New Roman" w:hAnsi="Times New Roman" w:cs="Times New Roman"/>
          <w:color w:val="auto"/>
          <w:highlight w:val="none"/>
          <w:lang w:val="en-US" w:eastAsia="zh-CN"/>
        </w:rPr>
        <w:t xml:space="preserve">1.5.4 </w:t>
      </w:r>
      <w:r>
        <w:rPr>
          <w:rFonts w:hint="default" w:ascii="Times New Roman" w:hAnsi="Times New Roman" w:cs="Times New Roman"/>
          <w:color w:val="auto"/>
          <w:highlight w:val="none"/>
        </w:rPr>
        <w:t>项目执行标准</w:t>
      </w:r>
      <w:bookmarkEnd w:id="60"/>
      <w:bookmarkEnd w:id="61"/>
      <w:bookmarkEnd w:id="62"/>
      <w:bookmarkEnd w:id="63"/>
    </w:p>
    <w:p w14:paraId="449D0BD7">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szCs w:val="24"/>
          <w:highlight w:val="none"/>
        </w:rPr>
        <w:t>《</w:t>
      </w:r>
      <w:bookmarkStart w:id="64" w:name="OLE_LINK7"/>
      <w:r>
        <w:rPr>
          <w:rFonts w:hint="default" w:ascii="Times New Roman" w:hAnsi="Times New Roman" w:cs="Times New Roman"/>
          <w:color w:val="auto"/>
          <w:sz w:val="24"/>
          <w:szCs w:val="24"/>
          <w:highlight w:val="none"/>
        </w:rPr>
        <w:t>大气污染物综合排放标准</w:t>
      </w:r>
      <w:bookmarkEnd w:id="64"/>
      <w:r>
        <w:rPr>
          <w:rFonts w:hint="default" w:ascii="Times New Roman" w:hAnsi="Times New Roman" w:cs="Times New Roman"/>
          <w:color w:val="auto"/>
          <w:sz w:val="24"/>
          <w:szCs w:val="24"/>
          <w:highlight w:val="none"/>
        </w:rPr>
        <w:t>》（GB</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16297-1996）</w:t>
      </w:r>
      <w:r>
        <w:rPr>
          <w:rFonts w:hint="eastAsia" w:cs="Times New Roman"/>
          <w:color w:val="auto"/>
          <w:sz w:val="24"/>
          <w:szCs w:val="24"/>
          <w:highlight w:val="none"/>
          <w:lang w:eastAsia="zh-CN"/>
        </w:rPr>
        <w:t>；</w:t>
      </w:r>
    </w:p>
    <w:p w14:paraId="7F6AA3D2">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eastAsia="黑体" w:cs="Times New Roman"/>
          <w:color w:val="auto"/>
          <w:sz w:val="24"/>
          <w:highlight w:val="none"/>
        </w:rPr>
      </w:pPr>
      <w:r>
        <w:t>《石油化学工业污染物排放标准》(GB</w:t>
      </w:r>
      <w:r>
        <w:rPr>
          <w:rFonts w:hint="eastAsia"/>
          <w:lang w:val="en-US" w:eastAsia="zh-CN"/>
        </w:rPr>
        <w:t xml:space="preserve"> </w:t>
      </w:r>
      <w:r>
        <w:t>31571-2015)</w:t>
      </w:r>
      <w:r>
        <w:rPr>
          <w:rFonts w:hint="eastAsia"/>
          <w:lang w:eastAsia="zh-CN"/>
        </w:rPr>
        <w:t>；</w:t>
      </w:r>
    </w:p>
    <w:p w14:paraId="47B71E22">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eastAsia="黑体" w:cs="Times New Roman"/>
          <w:color w:val="auto"/>
          <w:sz w:val="24"/>
          <w:highlight w:val="none"/>
        </w:rPr>
      </w:pPr>
      <w:r>
        <w:rPr>
          <w:rFonts w:cs="Times New Roman"/>
        </w:rPr>
        <w:t>《土壤环境质量 建设用地土壤污染风险管控标准（试行）》（GB 36600-2018）</w:t>
      </w:r>
      <w:r>
        <w:rPr>
          <w:rFonts w:hint="eastAsia" w:cs="Times New Roman"/>
          <w:lang w:eastAsia="zh-CN"/>
        </w:rPr>
        <w:t>；</w:t>
      </w:r>
    </w:p>
    <w:p w14:paraId="24138222">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eastAsia="黑体" w:cs="Times New Roman"/>
          <w:color w:val="auto"/>
          <w:sz w:val="24"/>
          <w:highlight w:val="none"/>
        </w:rPr>
      </w:pPr>
      <w:r>
        <w:rPr>
          <w:rFonts w:cs="Times New Roman"/>
        </w:rPr>
        <w:t>《地下水质量标准》（GB/T 14848-2017）</w:t>
      </w:r>
      <w:r>
        <w:rPr>
          <w:rFonts w:hint="eastAsia" w:cs="Times New Roman"/>
          <w:lang w:eastAsia="zh-CN"/>
        </w:rPr>
        <w:t>；</w:t>
      </w:r>
    </w:p>
    <w:p w14:paraId="1A5B050B">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江苏省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大气污染物综合排放标准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32/4041—2021</w:t>
      </w:r>
      <w:r>
        <w:rPr>
          <w:rFonts w:hint="default" w:ascii="Times New Roman" w:hAnsi="Times New Roman" w:cs="Times New Roman"/>
          <w:color w:val="auto"/>
          <w:highlight w:val="none"/>
          <w:lang w:eastAsia="zh-CN"/>
        </w:rPr>
        <w:t>）</w:t>
      </w:r>
      <w:r>
        <w:rPr>
          <w:rFonts w:hint="eastAsia" w:cs="Times New Roman"/>
          <w:color w:val="auto"/>
          <w:highlight w:val="none"/>
          <w:lang w:eastAsia="zh-CN"/>
        </w:rPr>
        <w:t>；</w:t>
      </w:r>
    </w:p>
    <w:p w14:paraId="508A8F04">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《工业企业厂界环境噪声排放标准》（GB</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12348-2008）；</w:t>
      </w:r>
    </w:p>
    <w:p w14:paraId="48346013">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eastAsia="仿宋_GB2312" w:cs="Times New Roman"/>
          <w:color w:val="auto"/>
          <w:highlight w:val="none"/>
        </w:rPr>
      </w:pPr>
      <w:r>
        <w:rPr>
          <w:rFonts w:hint="default" w:ascii="Times New Roman" w:hAnsi="Times New Roman" w:cs="Times New Roman"/>
          <w:color w:val="auto"/>
          <w:sz w:val="24"/>
          <w:szCs w:val="24"/>
          <w:highlight w:val="none"/>
        </w:rPr>
        <w:t>《污水综合排放标准》（GB 8978-1996）；</w:t>
      </w:r>
    </w:p>
    <w:p w14:paraId="146AF2ED">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《太湖地区城镇污水处理厂及重点工业行业主要水污染物排放限值》（DB</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32/T1072-2007）</w:t>
      </w:r>
      <w:r>
        <w:rPr>
          <w:rFonts w:hint="eastAsia" w:cs="Times New Roman"/>
          <w:color w:val="auto"/>
          <w:sz w:val="24"/>
          <w:szCs w:val="24"/>
          <w:highlight w:val="none"/>
          <w:lang w:val="en-US" w:eastAsia="zh-CN"/>
        </w:rPr>
        <w:t>；</w:t>
      </w:r>
    </w:p>
    <w:p w14:paraId="7021D244">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《国家危险废物名录》（</w:t>
      </w:r>
      <w:r>
        <w:rPr>
          <w:rFonts w:hint="default" w:ascii="Times New Roman" w:hAnsi="Times New Roman" w:cs="Times New Roman"/>
          <w:color w:val="auto"/>
          <w:sz w:val="24"/>
          <w:szCs w:val="24"/>
          <w:highlight w:val="none"/>
          <w:lang w:val="en-US" w:eastAsia="zh-CN"/>
        </w:rPr>
        <w:t>2025</w:t>
      </w:r>
      <w:r>
        <w:rPr>
          <w:rFonts w:hint="default" w:ascii="Times New Roman" w:hAnsi="Times New Roman" w:cs="Times New Roman"/>
          <w:color w:val="auto"/>
          <w:sz w:val="24"/>
          <w:szCs w:val="24"/>
          <w:highlight w:val="none"/>
        </w:rPr>
        <w:t>版）；</w:t>
      </w:r>
    </w:p>
    <w:p w14:paraId="75DA94F8">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"https://www.mee.gov.cn/ywgz/fgbz/bz/bzwb/gthw/wxfwjbffbz/201911/W020191115568392646754.pdf"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危险废物鉴别标准 通则》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 5085.7—2019</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w:t>
      </w:r>
    </w:p>
    <w:p w14:paraId="110F4A6B">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《一般工业固体废物贮存、处置场污染控制标准》（GB 18599-2020）；</w:t>
      </w:r>
    </w:p>
    <w:p w14:paraId="6DE2F125">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《危险废物贮存污染控制标准》（GB 18597-2023）</w:t>
      </w:r>
      <w:r>
        <w:rPr>
          <w:rFonts w:hint="default" w:ascii="Times New Roman" w:hAnsi="Times New Roman" w:cs="Times New Roman"/>
          <w:color w:val="auto"/>
          <w:sz w:val="24"/>
          <w:szCs w:val="24"/>
          <w:highlight w:val="none"/>
          <w:lang w:eastAsia="zh-CN"/>
        </w:rPr>
        <w:t>；</w:t>
      </w:r>
    </w:p>
    <w:p w14:paraId="4610E784">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《挥发性有机物无组织排放控制标准》（GB 37822—2019）</w:t>
      </w:r>
      <w:r>
        <w:rPr>
          <w:rFonts w:hint="default" w:ascii="Times New Roman" w:hAnsi="Times New Roman" w:cs="Times New Roman"/>
          <w:color w:val="auto"/>
          <w:sz w:val="24"/>
          <w:szCs w:val="24"/>
          <w:highlight w:val="none"/>
          <w:lang w:eastAsia="zh-CN"/>
        </w:rPr>
        <w:t>；</w:t>
      </w:r>
    </w:p>
    <w:p w14:paraId="1154FBD9">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"https://www.mee.gov.cn/ywgz/fgbz/bz/bzwb/gthw/wxfwjbffbz/202302/W020230224650971041729.pdf"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危险废物识别标志设置技术规范》（HJ 1276—2022）</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lang w:eastAsia="zh-CN"/>
        </w:rPr>
        <w:t>；</w:t>
      </w:r>
    </w:p>
    <w:p w14:paraId="51264A24">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《危险废物鉴别技术规范》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HJ 298－2019 代替HJ/T 298-2007</w:t>
      </w:r>
      <w:r>
        <w:rPr>
          <w:rFonts w:hint="default" w:ascii="Times New Roman" w:hAnsi="Times New Roman" w:cs="Times New Roman"/>
          <w:color w:val="auto"/>
          <w:sz w:val="24"/>
          <w:szCs w:val="24"/>
          <w:highlight w:val="none"/>
          <w:lang w:eastAsia="zh-CN"/>
        </w:rPr>
        <w:t>）；</w:t>
      </w:r>
    </w:p>
    <w:p w14:paraId="7BF44C79">
      <w:pPr>
        <w:keepNext w:val="0"/>
        <w:keepLines w:val="0"/>
        <w:pageBreakBefore w:val="0"/>
        <w:widowControl w:val="0"/>
        <w:numPr>
          <w:ilvl w:val="0"/>
          <w:numId w:val="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sectPr>
          <w:pgSz w:w="11906" w:h="16838"/>
          <w:pgMar w:top="1440" w:right="1797" w:bottom="1440" w:left="1797" w:header="851" w:footer="992" w:gutter="0"/>
          <w:pgNumType w:fmt="decimal"/>
          <w:cols w:space="425" w:num="1"/>
          <w:docGrid w:type="lines" w:linePitch="312" w:charSpace="0"/>
        </w:sectPr>
      </w:pPr>
      <w:r>
        <w:rPr>
          <w:rFonts w:hint="default" w:ascii="Times New Roman" w:hAnsi="Times New Roman" w:cs="Times New Roman"/>
          <w:color w:val="auto"/>
          <w:sz w:val="24"/>
          <w:szCs w:val="24"/>
          <w:highlight w:val="none"/>
        </w:rPr>
        <w:t>《固体废物鉴别标准 通则》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 34330—2017</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highlight w:val="none"/>
          <w:lang w:eastAsia="zh-CN"/>
        </w:rPr>
        <w:t>。</w:t>
      </w:r>
    </w:p>
    <w:p w14:paraId="5A14F453">
      <w:pPr>
        <w:pStyle w:val="2"/>
        <w:numPr>
          <w:ilvl w:val="0"/>
          <w:numId w:val="0"/>
        </w:numPr>
        <w:bidi w:val="0"/>
        <w:ind w:leftChars="0"/>
        <w:rPr>
          <w:rFonts w:hint="default" w:ascii="Times New Roman" w:hAnsi="Times New Roman" w:cs="Times New Roman"/>
          <w:color w:val="auto"/>
          <w:highlight w:val="none"/>
        </w:rPr>
      </w:pPr>
      <w:bookmarkStart w:id="65" w:name="_Toc406099537"/>
      <w:bookmarkStart w:id="66" w:name="_Toc406099689"/>
      <w:bookmarkStart w:id="67" w:name="_Toc406099813"/>
      <w:bookmarkStart w:id="68" w:name="_Toc23509"/>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项目区域环境条件</w:t>
      </w:r>
      <w:bookmarkEnd w:id="65"/>
      <w:bookmarkEnd w:id="66"/>
      <w:bookmarkEnd w:id="67"/>
      <w:bookmarkEnd w:id="68"/>
    </w:p>
    <w:p w14:paraId="2C875A4A">
      <w:pPr>
        <w:pStyle w:val="3"/>
        <w:numPr>
          <w:ilvl w:val="1"/>
          <w:numId w:val="0"/>
        </w:numPr>
        <w:bidi w:val="0"/>
        <w:ind w:leftChars="0"/>
        <w:rPr>
          <w:rFonts w:hint="default" w:ascii="Times New Roman" w:hAnsi="Times New Roman" w:cs="Times New Roman"/>
          <w:color w:val="auto"/>
          <w:highlight w:val="none"/>
        </w:rPr>
      </w:pPr>
      <w:bookmarkStart w:id="69" w:name="_Toc20453"/>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地形地貌</w:t>
      </w:r>
      <w:bookmarkEnd w:id="69"/>
    </w:p>
    <w:p w14:paraId="0C43B82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场地位于常熟新材料产业园该公司内。常熟市属于长江三角洲冲积平原，地势由西北向东南倾斜，除虞山、福山等少量孤立剥蚀残丘外，地面高程大多在3.0~7.0m之间。以纵横贯穿全市的望虞河、盐铁塘为分界，分为锡澄虞高亢平原、虞南阳澄湖低洼圩田和虞东沿江三角洲地区。望虞河以西属锡澄虞高亢平原，地势高亢，稍有起伏，地面高程约5.0~7.0m，称虞西平原。望虞河以东，盐铁塘以北属虞东沿江三角洲地区，地势偏高，地面高程大都在5.0~6.0m，称滨江平原。望虞河以东，盐铁塘以南属南阳澄湖低洼圩田区，地势低洼，河湖密布，地面高程约2.5~4.0m，称阳澄圩区。另有顾山、福山诸丘和虞山分布在境域西北和城西，其中虞山为长江三角洲前缘平原上延伸最长、海拔最高的山体，最高峰望海墩海拔263m，东端蜿蜓入城，并以秀美见长，称著江南。</w:t>
      </w:r>
    </w:p>
    <w:p w14:paraId="44E693BF">
      <w:pPr>
        <w:pStyle w:val="3"/>
        <w:numPr>
          <w:ilvl w:val="1"/>
          <w:numId w:val="0"/>
        </w:numPr>
        <w:ind w:leftChars="0"/>
        <w:rPr>
          <w:rFonts w:hint="default" w:ascii="Times New Roman" w:hAnsi="Times New Roman" w:cs="Times New Roman" w:eastAsiaTheme="minorEastAsia"/>
          <w:color w:val="auto"/>
          <w:highlight w:val="none"/>
        </w:rPr>
      </w:pPr>
      <w:bookmarkStart w:id="70" w:name="_Toc12657"/>
      <w:r>
        <w:rPr>
          <w:rFonts w:hint="default" w:ascii="Times New Roman" w:hAnsi="Times New Roman" w:cs="Times New Roman" w:eastAsiaTheme="minorEastAsia"/>
          <w:color w:val="auto"/>
          <w:highlight w:val="none"/>
          <w:lang w:val="en-US" w:eastAsia="zh-CN"/>
        </w:rPr>
        <w:t>2.2</w:t>
      </w:r>
      <w:r>
        <w:rPr>
          <w:rFonts w:hint="default" w:ascii="Times New Roman" w:hAnsi="Times New Roman" w:cs="Times New Roman" w:eastAsiaTheme="minorEastAsia"/>
          <w:color w:val="auto"/>
          <w:highlight w:val="none"/>
        </w:rPr>
        <w:t>地质与水文地质</w:t>
      </w:r>
      <w:bookmarkEnd w:id="70"/>
    </w:p>
    <w:p w14:paraId="7E1EC272">
      <w:pPr>
        <w:pStyle w:val="4"/>
        <w:numPr>
          <w:ilvl w:val="0"/>
          <w:numId w:val="0"/>
        </w:numPr>
        <w:ind w:leftChars="0"/>
        <w:rPr>
          <w:rFonts w:hint="default" w:ascii="Times New Roman" w:hAnsi="Times New Roman" w:cs="Times New Roman"/>
          <w:color w:val="auto"/>
          <w:highlight w:val="none"/>
        </w:rPr>
      </w:pPr>
      <w:bookmarkStart w:id="71" w:name="_Toc3272"/>
      <w:r>
        <w:rPr>
          <w:rFonts w:hint="default" w:ascii="Times New Roman" w:hAnsi="Times New Roman" w:cs="Times New Roman"/>
          <w:color w:val="auto"/>
          <w:highlight w:val="none"/>
          <w:lang w:val="en-US" w:eastAsia="zh-CN"/>
        </w:rPr>
        <w:t xml:space="preserve">2.2.1 </w:t>
      </w:r>
      <w:r>
        <w:rPr>
          <w:rFonts w:hint="default" w:ascii="Times New Roman" w:hAnsi="Times New Roman" w:cs="Times New Roman"/>
          <w:color w:val="auto"/>
          <w:highlight w:val="none"/>
        </w:rPr>
        <w:t>地质</w:t>
      </w:r>
      <w:bookmarkEnd w:id="71"/>
    </w:p>
    <w:p w14:paraId="3F9BF13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参考《</w:t>
      </w:r>
      <w:r>
        <w:rPr>
          <w:rFonts w:hint="default" w:ascii="Times New Roman" w:hAnsi="Times New Roman" w:cs="Times New Roman"/>
          <w:color w:val="auto"/>
          <w:highlight w:val="none"/>
          <w:lang w:eastAsia="zh-CN"/>
        </w:rPr>
        <w:t>常熟三爱富氟化工有限责任公司年产6000吨偏氟乙烯（VDF）、副产品32500吨盐酸技改项目岩土工程勘察报告</w:t>
      </w:r>
      <w:r>
        <w:rPr>
          <w:rFonts w:hint="default" w:ascii="Times New Roman" w:hAnsi="Times New Roman" w:cs="Times New Roman"/>
          <w:color w:val="auto"/>
          <w:highlight w:val="none"/>
          <w:lang w:val="en-US" w:eastAsia="zh-CN"/>
        </w:rPr>
        <w:t>》。</w:t>
      </w:r>
    </w:p>
    <w:p w14:paraId="1477E97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拟建场地勘察深度范围内揭露的土层，按其沉积环境、成因类型及其工程地质特性自上而下分为7个工程地质层2个亚层，分层描述如下</w:t>
      </w:r>
      <w:r>
        <w:rPr>
          <w:rFonts w:hint="default" w:ascii="Times New Roman" w:hAnsi="Times New Roman" w:cs="Times New Roman"/>
          <w:color w:val="auto"/>
          <w:highlight w:val="none"/>
        </w:rPr>
        <w:t>：</w:t>
      </w:r>
    </w:p>
    <w:p w14:paraId="075111B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第（1）层：素填土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ml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，层厚0.50～</w:t>
      </w:r>
      <w:r>
        <w:rPr>
          <w:rFonts w:hint="default" w:ascii="Times New Roman" w:hAnsi="Times New Roman" w:cs="Times New Roman"/>
          <w:color w:val="auto"/>
          <w:highlight w:val="none"/>
          <w:lang w:val="en-US" w:eastAsia="zh-CN"/>
        </w:rPr>
        <w:t>1.80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，层顶埋深0.00～0.00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，层底标高</w:t>
      </w:r>
      <w:r>
        <w:rPr>
          <w:rFonts w:hint="default" w:ascii="Times New Roman" w:hAnsi="Times New Roman" w:cs="Times New Roman"/>
          <w:color w:val="auto"/>
          <w:highlight w:val="none"/>
          <w:lang w:val="en-US" w:eastAsia="zh-CN"/>
        </w:rPr>
        <w:t>1.50~2.80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。灰色，松散。粘性土</w:t>
      </w:r>
      <w:r>
        <w:rPr>
          <w:rFonts w:hint="default" w:ascii="Times New Roman" w:hAnsi="Times New Roman" w:cs="Times New Roman"/>
          <w:color w:val="auto"/>
          <w:highlight w:val="none"/>
          <w:lang w:val="en-US" w:eastAsia="zh-CN"/>
        </w:rPr>
        <w:t>为主</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表层为砼地坪</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结构松散，</w:t>
      </w:r>
      <w:r>
        <w:rPr>
          <w:rFonts w:hint="default" w:ascii="Times New Roman" w:hAnsi="Times New Roman" w:cs="Times New Roman"/>
          <w:color w:val="auto"/>
          <w:highlight w:val="none"/>
        </w:rPr>
        <w:t>不能直接作基础持力层。</w:t>
      </w:r>
    </w:p>
    <w:p w14:paraId="3D5D089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第（2）层：粉质粘土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al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，层厚0.</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0～1.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，层顶埋深0.50～</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，层底标高0.</w:t>
      </w:r>
      <w:r>
        <w:rPr>
          <w:rFonts w:hint="default" w:ascii="Times New Roman" w:hAnsi="Times New Roman" w:cs="Times New Roman"/>
          <w:color w:val="auto"/>
          <w:highlight w:val="none"/>
          <w:lang w:val="en-US" w:eastAsia="zh-CN"/>
        </w:rPr>
        <w:t>80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。灰黄色，</w:t>
      </w:r>
      <w:r>
        <w:rPr>
          <w:rFonts w:hint="default" w:ascii="Times New Roman" w:hAnsi="Times New Roman" w:cs="Times New Roman"/>
          <w:color w:val="auto"/>
          <w:highlight w:val="none"/>
          <w:lang w:val="en-US" w:eastAsia="zh-CN"/>
        </w:rPr>
        <w:t>流塑~</w:t>
      </w:r>
      <w:r>
        <w:rPr>
          <w:rFonts w:hint="default" w:ascii="Times New Roman" w:hAnsi="Times New Roman" w:cs="Times New Roman"/>
          <w:color w:val="auto"/>
          <w:highlight w:val="none"/>
        </w:rPr>
        <w:t>软塑，干强度中等，</w:t>
      </w:r>
      <w:r>
        <w:rPr>
          <w:rFonts w:hint="default" w:ascii="Times New Roman" w:hAnsi="Times New Roman" w:cs="Times New Roman"/>
          <w:color w:val="auto"/>
          <w:highlight w:val="none"/>
          <w:lang w:val="en-US" w:eastAsia="zh-CN"/>
        </w:rPr>
        <w:t>中等~高</w:t>
      </w:r>
      <w:r>
        <w:rPr>
          <w:rFonts w:hint="default" w:ascii="Times New Roman" w:hAnsi="Times New Roman" w:cs="Times New Roman"/>
          <w:color w:val="auto"/>
          <w:highlight w:val="none"/>
        </w:rPr>
        <w:t>压缩性，中等韧性，摇振反应无，稍有光泽。工程性能一般。</w:t>
      </w:r>
      <w:r>
        <w:rPr>
          <w:rFonts w:hint="default" w:ascii="Times New Roman" w:hAnsi="Times New Roman" w:cs="Times New Roman"/>
          <w:color w:val="auto"/>
          <w:highlight w:val="none"/>
          <w:lang w:val="en-US" w:eastAsia="zh-CN"/>
        </w:rPr>
        <w:t>全场分布。</w:t>
      </w:r>
    </w:p>
    <w:p w14:paraId="33E9A993">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第（3-1）层：淤泥质粉质粘土（</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al</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层厚</w:t>
      </w:r>
      <w:r>
        <w:rPr>
          <w:rFonts w:hint="default" w:ascii="Times New Roman" w:hAnsi="Times New Roman" w:cs="Times New Roman"/>
          <w:color w:val="auto"/>
          <w:highlight w:val="none"/>
          <w:lang w:val="en-US" w:eastAsia="zh-CN"/>
        </w:rPr>
        <w:t>1.90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层顶埋深</w:t>
      </w:r>
      <w:r>
        <w:rPr>
          <w:rFonts w:hint="default" w:ascii="Times New Roman" w:hAnsi="Times New Roman" w:cs="Times New Roman"/>
          <w:color w:val="auto"/>
          <w:highlight w:val="none"/>
          <w:lang w:val="en-US" w:eastAsia="zh-CN"/>
        </w:rPr>
        <w:t>1.50~2.50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，层底标高</w:t>
      </w:r>
      <w:r>
        <w:rPr>
          <w:rFonts w:hint="default" w:ascii="Times New Roman" w:hAnsi="Times New Roman" w:cs="Times New Roman"/>
          <w:color w:val="auto"/>
          <w:highlight w:val="none"/>
          <w:lang w:val="en-US" w:eastAsia="zh-CN"/>
        </w:rPr>
        <w:t>-2.70~-0.80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。灰色，流塑，干强度中等，</w:t>
      </w:r>
      <w:r>
        <w:rPr>
          <w:rFonts w:hint="default" w:ascii="Times New Roman" w:hAnsi="Times New Roman" w:cs="Times New Roman"/>
          <w:color w:val="auto"/>
          <w:highlight w:val="none"/>
          <w:lang w:val="en-US" w:eastAsia="zh-CN"/>
        </w:rPr>
        <w:t>高</w:t>
      </w:r>
      <w:r>
        <w:rPr>
          <w:rFonts w:hint="default" w:ascii="Times New Roman" w:hAnsi="Times New Roman" w:cs="Times New Roman"/>
          <w:color w:val="auto"/>
          <w:highlight w:val="none"/>
        </w:rPr>
        <w:t>压缩性，中等韧性，摇振反应无，稍有光泽。工程性能</w:t>
      </w:r>
      <w:r>
        <w:rPr>
          <w:rFonts w:hint="default" w:ascii="Times New Roman" w:hAnsi="Times New Roman" w:cs="Times New Roman"/>
          <w:color w:val="auto"/>
          <w:highlight w:val="none"/>
          <w:lang w:val="en-US" w:eastAsia="zh-CN"/>
        </w:rPr>
        <w:t>差</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全场分布。</w:t>
      </w:r>
    </w:p>
    <w:p w14:paraId="5E68864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）层：淤泥质粉质粘土夹粉土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al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，层厚</w:t>
      </w:r>
      <w:r>
        <w:rPr>
          <w:rFonts w:hint="default" w:ascii="Times New Roman" w:hAnsi="Times New Roman" w:cs="Times New Roman"/>
          <w:color w:val="auto"/>
          <w:highlight w:val="none"/>
          <w:lang w:val="en-US" w:eastAsia="zh-CN"/>
        </w:rPr>
        <w:t>10.70~14.90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，层顶埋深</w:t>
      </w:r>
      <w:r>
        <w:rPr>
          <w:rFonts w:hint="default" w:ascii="Times New Roman" w:hAnsi="Times New Roman" w:cs="Times New Roman"/>
          <w:color w:val="auto"/>
          <w:highlight w:val="none"/>
          <w:lang w:val="en-US" w:eastAsia="zh-CN"/>
        </w:rPr>
        <w:t>4.10~6.00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，层底标高</w:t>
      </w:r>
      <w:r>
        <w:rPr>
          <w:rFonts w:hint="default" w:ascii="Times New Roman" w:hAnsi="Times New Roman" w:cs="Times New Roman"/>
          <w:color w:val="auto"/>
          <w:highlight w:val="none"/>
          <w:lang w:val="en-US" w:eastAsia="zh-CN"/>
        </w:rPr>
        <w:t>-16.00~-12.70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。灰色，流塑，夹粉土，干强度低～中等，高压缩性，低～中等韧性，摇振反应慢，稍有光泽。工程性能差。</w:t>
      </w:r>
      <w:r>
        <w:rPr>
          <w:rFonts w:hint="default" w:ascii="Times New Roman" w:hAnsi="Times New Roman" w:cs="Times New Roman"/>
          <w:color w:val="auto"/>
          <w:highlight w:val="none"/>
          <w:lang w:val="en-US" w:eastAsia="zh-CN"/>
        </w:rPr>
        <w:t>全场分布</w:t>
      </w:r>
      <w:r>
        <w:rPr>
          <w:rFonts w:hint="default" w:ascii="Times New Roman" w:hAnsi="Times New Roman" w:cs="Times New Roman"/>
          <w:color w:val="auto"/>
          <w:highlight w:val="none"/>
        </w:rPr>
        <w:t>。</w:t>
      </w:r>
    </w:p>
    <w:p w14:paraId="494229C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粉砂夹粉质粘土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superscript"/>
        </w:rPr>
        <w:t>al</w:t>
      </w:r>
      <w:r>
        <w:rPr>
          <w:rFonts w:hint="default" w:ascii="Times New Roman" w:hAnsi="Times New Roman" w:cs="Times New Roman"/>
          <w:color w:val="auto"/>
          <w:highlight w:val="none"/>
          <w:vertAlign w:val="superscript"/>
          <w:lang w:val="en-US" w:eastAsia="zh-CN"/>
        </w:rPr>
        <w:t>+pl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，层厚5.40~7.80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，层顶埋深16.00~19.30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，层底标高-21.70~-19.70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。灰色，中密，饱和，夹粉质粘土，中等偏低压缩性。由石英、长石、云母组成泥质较高。工程性能中等。全场分布。</w:t>
      </w:r>
    </w:p>
    <w:p w14:paraId="53CE1C5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粉质粘土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superscript"/>
        </w:rPr>
        <w:t>al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，揭露最大层厚3.00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，层顶埋深23.00~25.00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。灰黄色，可塑干强度中等，中等压缩性，中等韧性，摇振反应无，稍有光泽。工程性能中等。全场分布。</w:t>
      </w:r>
    </w:p>
    <w:p w14:paraId="45DC404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粉砂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superscript"/>
        </w:rPr>
        <w:t>al</w:t>
      </w:r>
      <w:r>
        <w:rPr>
          <w:rFonts w:hint="default" w:ascii="Times New Roman" w:hAnsi="Times New Roman" w:cs="Times New Roman"/>
          <w:color w:val="auto"/>
          <w:highlight w:val="none"/>
          <w:vertAlign w:val="superscript"/>
          <w:lang w:val="en-US" w:eastAsia="zh-CN"/>
        </w:rPr>
        <w:t>+pl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，层厚0.80~2.30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，层顶埋深25.60~27.20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，层底标高-25.60~-24.50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。灰黄色，中密，饱和，中等偏低压缩性。由石英、长石、云母组成，质稍纯。工程性能中等。埋深较大，在VDF生产装置和装置辅助车间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丁类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揭露。</w:t>
      </w:r>
    </w:p>
    <w:p w14:paraId="28790FA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粉质粘土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superscript"/>
        </w:rPr>
        <w:t>al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，揭露最大层厚12.20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，未穿，层顶埋深27.80~28.90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。灰黄色</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可塑~硬塑，干强度中等，中等压缩性，中等韧性，摇振反应无，稍有光泽。工程性能较好。埋深较大，在VDF生产装置和装置辅助车间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丁类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揭露。</w:t>
      </w:r>
    </w:p>
    <w:p w14:paraId="63C5E289">
      <w:pPr>
        <w:pStyle w:val="4"/>
        <w:rPr>
          <w:rFonts w:hint="default" w:ascii="Times New Roman" w:hAnsi="Times New Roman" w:cs="Times New Roman"/>
          <w:color w:val="auto"/>
          <w:highlight w:val="none"/>
        </w:rPr>
      </w:pPr>
      <w:bookmarkStart w:id="72" w:name="_Toc3907"/>
      <w:r>
        <w:rPr>
          <w:rFonts w:hint="default" w:ascii="Times New Roman" w:hAnsi="Times New Roman" w:cs="Times New Roman"/>
          <w:color w:val="auto"/>
          <w:highlight w:val="none"/>
          <w:lang w:val="en-US" w:eastAsia="zh-CN"/>
        </w:rPr>
        <w:t xml:space="preserve">2.2.2 </w:t>
      </w:r>
      <w:r>
        <w:rPr>
          <w:rFonts w:hint="default" w:ascii="Times New Roman" w:hAnsi="Times New Roman" w:cs="Times New Roman"/>
          <w:color w:val="auto"/>
          <w:highlight w:val="none"/>
        </w:rPr>
        <w:t>水文地质条件</w:t>
      </w:r>
      <w:bookmarkEnd w:id="72"/>
    </w:p>
    <w:p w14:paraId="6E57A8D0">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参考《</w:t>
      </w:r>
      <w:r>
        <w:rPr>
          <w:rFonts w:hint="default" w:ascii="Times New Roman" w:hAnsi="Times New Roman" w:cs="Times New Roman"/>
          <w:color w:val="auto"/>
          <w:highlight w:val="none"/>
          <w:lang w:eastAsia="zh-CN"/>
        </w:rPr>
        <w:t>常熟三爱富氟化工有限责任公司年产6000吨偏氟乙烯（VDF）、副产品32500吨盐酸技改项目岩土工程勘察报告</w:t>
      </w:r>
      <w:r>
        <w:rPr>
          <w:rFonts w:hint="default" w:ascii="Times New Roman" w:hAnsi="Times New Roman" w:cs="Times New Roman"/>
          <w:color w:val="auto"/>
          <w:highlight w:val="none"/>
          <w:lang w:val="en-US" w:eastAsia="zh-CN"/>
        </w:rPr>
        <w:t>》。</w:t>
      </w:r>
    </w:p>
    <w:p w14:paraId="760C95F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地下水的赋存条件及类型</w:t>
      </w:r>
    </w:p>
    <w:p w14:paraId="103A10A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在本次勘察深度范围内有三层地下水，第一层属孔隙潜水类型，主要赋存于第①层素填土、第②层粉质粘土、第③-1层淤泥质粉质粘土中。第二层为④粉砂夹粉质粘土和第三层为⑥粉砂层微承压水。</w:t>
      </w:r>
    </w:p>
    <w:p w14:paraId="6C95537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地下水的补给、径流及排泄条件</w:t>
      </w:r>
    </w:p>
    <w:p w14:paraId="6CC365F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地下水的补给来源主要是大气降水及邻近地段地表河水。地下水的排泄方式主要为就地泄入地表水体、自然蒸发，泾流缓慢。</w:t>
      </w:r>
    </w:p>
    <w:p w14:paraId="34C8E54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地下水位</w:t>
      </w:r>
    </w:p>
    <w:p w14:paraId="6B896D13">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勘察期间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测得第一层孔隙潜水初见水位埋深约1.0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，为85国家高程系约2.30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稳定水位埋深约1.3</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，为85国家高程系约2.00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。受降水影响，季节性变化明显。据调查，场地水位年变化幅为1m左右。第二层④</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粉砂夹粉质粘土微承压水，采取止水措施，测得承压水位标高为85国家高程系-2.80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左右。第三层为⑥粉砂层微承压水，因关系不大，水头未测。</w:t>
      </w:r>
      <w:r>
        <w:rPr>
          <w:rFonts w:hint="default" w:ascii="Times New Roman" w:hAnsi="Times New Roman" w:cs="Times New Roman"/>
          <w:color w:val="auto"/>
          <w:highlight w:val="none"/>
          <w:lang w:val="en-US" w:eastAsia="zh-CN"/>
        </w:rPr>
        <w:t>根据资料收集，项目所在区域地下水流向由西北向东南。</w:t>
      </w:r>
    </w:p>
    <w:p w14:paraId="4AAE5702">
      <w:pPr>
        <w:pStyle w:val="3"/>
        <w:bidi w:val="0"/>
        <w:rPr>
          <w:rFonts w:hint="default" w:ascii="Times New Roman" w:hAnsi="Times New Roman" w:cs="Times New Roman"/>
          <w:color w:val="auto"/>
          <w:highlight w:val="none"/>
        </w:rPr>
      </w:pPr>
      <w:bookmarkStart w:id="73" w:name="_Toc406099815"/>
      <w:bookmarkStart w:id="74" w:name="_Toc406099539"/>
      <w:bookmarkStart w:id="75" w:name="_Toc406099691"/>
      <w:bookmarkStart w:id="76" w:name="_Toc19712"/>
      <w:r>
        <w:rPr>
          <w:rFonts w:hint="default" w:ascii="Times New Roman" w:hAnsi="Times New Roman" w:cs="Times New Roman"/>
          <w:color w:val="auto"/>
          <w:highlight w:val="none"/>
          <w:lang w:val="en-US" w:eastAsia="zh-CN"/>
        </w:rPr>
        <w:t>2.3 气象</w:t>
      </w:r>
      <w:r>
        <w:rPr>
          <w:rFonts w:hint="default" w:ascii="Times New Roman" w:hAnsi="Times New Roman" w:cs="Times New Roman"/>
          <w:color w:val="auto"/>
          <w:highlight w:val="none"/>
        </w:rPr>
        <w:t>气候</w:t>
      </w:r>
      <w:bookmarkEnd w:id="73"/>
      <w:bookmarkEnd w:id="74"/>
      <w:bookmarkEnd w:id="75"/>
      <w:r>
        <w:rPr>
          <w:rFonts w:hint="default" w:ascii="Times New Roman" w:hAnsi="Times New Roman" w:cs="Times New Roman"/>
          <w:color w:val="auto"/>
          <w:highlight w:val="none"/>
        </w:rPr>
        <w:t>条件</w:t>
      </w:r>
      <w:bookmarkEnd w:id="76"/>
    </w:p>
    <w:p w14:paraId="301A0DB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地处北亚热带南部湿润气候区，季风盛行，温暖湿润，四季分明，雨量充沛。冬季盛行大陆来的偏北风，以寒冷少雨天气为主；夏季盛行海洋来的东南风，以炎热多雨天气为主；春秋两季为东夏两季风交替，常出现冷暖、干湿多变的天气。本地区的异常气候，如潮湿、夏秋旱、梅雨、台风、龙卷风等时有出现；多年入梅期在6月16日，出梅在7月4日，台风平均每年1.5次，龙卷风平均三年有1次，冰雹平均每年1次。</w:t>
      </w:r>
    </w:p>
    <w:p w14:paraId="1E7FEF7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常熟市历年平均风速为2.8m/s，主导风为ESE</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常熟市历年气温、气压、湿度、降水量状况见</w:t>
      </w:r>
      <w:r>
        <w:rPr>
          <w:rFonts w:hint="eastAsia" w:cs="Times New Roman"/>
          <w:color w:val="auto"/>
          <w:highlight w:val="none"/>
          <w:lang w:val="en-US" w:eastAsia="zh-CN"/>
        </w:rPr>
        <w:t>下表</w:t>
      </w:r>
      <w:r>
        <w:rPr>
          <w:rFonts w:hint="default" w:ascii="Times New Roman" w:hAnsi="Times New Roman" w:cs="Times New Roman"/>
          <w:color w:val="auto"/>
          <w:highlight w:val="none"/>
          <w:lang w:val="en-US" w:eastAsia="zh-CN"/>
        </w:rPr>
        <w:t>。</w:t>
      </w:r>
    </w:p>
    <w:p w14:paraId="11E25011">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常熟市气象站气温、气压、湿度、降水量统计表</w:t>
      </w:r>
    </w:p>
    <w:p w14:paraId="5BDCFAE0">
      <w:pPr>
        <w:pStyle w:val="56"/>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default" w:ascii="Times New Roman" w:hAnsi="Times New Roman" w:cs="Times New Roman" w:eastAsiaTheme="minorEastAsia"/>
          <w:b/>
          <w:color w:val="auto"/>
          <w:sz w:val="21"/>
          <w:highlight w:val="none"/>
        </w:rPr>
      </w:pPr>
      <w:r>
        <w:rPr>
          <w:rFonts w:hint="default" w:ascii="Times New Roman" w:hAnsi="Times New Roman" w:cs="Times New Roman"/>
          <w:color w:val="auto"/>
          <w:highlight w:val="none"/>
        </w:rPr>
        <w:drawing>
          <wp:inline distT="0" distB="0" distL="114300" distR="114300">
            <wp:extent cx="5276215" cy="1328420"/>
            <wp:effectExtent l="0" t="0" r="635" b="508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1"/>
                    <a:stretch>
                      <a:fillRect/>
                    </a:stretch>
                  </pic:blipFill>
                  <pic:spPr>
                    <a:xfrm>
                      <a:off x="0" y="0"/>
                      <a:ext cx="5276215" cy="1328420"/>
                    </a:xfrm>
                    <a:prstGeom prst="rect">
                      <a:avLst/>
                    </a:prstGeom>
                    <a:noFill/>
                    <a:ln>
                      <a:noFill/>
                    </a:ln>
                  </pic:spPr>
                </pic:pic>
              </a:graphicData>
            </a:graphic>
          </wp:inline>
        </w:drawing>
      </w:r>
    </w:p>
    <w:p w14:paraId="7A05137D">
      <w:pPr>
        <w:pStyle w:val="3"/>
        <w:bidi w:val="0"/>
        <w:rPr>
          <w:rFonts w:hint="default" w:ascii="Times New Roman" w:hAnsi="Times New Roman" w:cs="Times New Roman"/>
          <w:color w:val="auto"/>
          <w:highlight w:val="none"/>
        </w:rPr>
      </w:pPr>
      <w:bookmarkStart w:id="77" w:name="_Toc31792"/>
      <w:r>
        <w:rPr>
          <w:rFonts w:hint="default" w:ascii="Times New Roman" w:hAnsi="Times New Roman" w:cs="Times New Roman"/>
          <w:color w:val="auto"/>
          <w:highlight w:val="none"/>
          <w:lang w:val="en-US" w:eastAsia="zh-CN"/>
        </w:rPr>
        <w:t xml:space="preserve">2.4 </w:t>
      </w:r>
      <w:r>
        <w:rPr>
          <w:rFonts w:hint="default" w:ascii="Times New Roman" w:hAnsi="Times New Roman" w:cs="Times New Roman"/>
          <w:color w:val="auto"/>
          <w:highlight w:val="none"/>
        </w:rPr>
        <w:t>周边地表水</w:t>
      </w:r>
      <w:bookmarkEnd w:id="77"/>
    </w:p>
    <w:p w14:paraId="3D003C99">
      <w:pPr>
        <w:rPr>
          <w:rFonts w:hint="default" w:ascii="Times New Roman" w:hAnsi="Times New Roman" w:cs="Times New Roman"/>
          <w:color w:val="auto"/>
          <w:highlight w:val="none"/>
        </w:rPr>
      </w:pPr>
      <w:r>
        <w:rPr>
          <w:rFonts w:hint="default" w:ascii="Times New Roman" w:hAnsi="Times New Roman" w:cs="Times New Roman"/>
          <w:color w:val="auto"/>
          <w:highlight w:val="none"/>
        </w:rPr>
        <w:t>长江流经常熟北境，按省划定的界线，属常熟境的江面为109.75</w:t>
      </w:r>
      <w:r>
        <w:rPr>
          <w:rFonts w:hint="default" w:ascii="Times New Roman" w:hAnsi="Times New Roman" w:cs="Times New Roman"/>
          <w:color w:val="auto"/>
          <w:highlight w:val="none"/>
          <w:lang w:val="en-US" w:eastAsia="zh-CN"/>
        </w:rPr>
        <w:t>km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。江岸西起芦浦塘口，东至白茆塘口，长约31</w:t>
      </w:r>
      <w:r>
        <w:rPr>
          <w:rFonts w:hint="default" w:ascii="Times New Roman" w:hAnsi="Times New Roman" w:cs="Times New Roman"/>
          <w:color w:val="auto"/>
          <w:highlight w:val="none"/>
          <w:lang w:val="en-US" w:eastAsia="zh-CN"/>
        </w:rPr>
        <w:t>km</w:t>
      </w:r>
      <w:r>
        <w:rPr>
          <w:rFonts w:hint="default" w:ascii="Times New Roman" w:hAnsi="Times New Roman" w:cs="Times New Roman"/>
          <w:color w:val="auto"/>
          <w:highlight w:val="none"/>
        </w:rPr>
        <w:t>。江面宽度，徐六泾口外为5.5</w:t>
      </w:r>
      <w:r>
        <w:rPr>
          <w:rFonts w:hint="default" w:ascii="Times New Roman" w:hAnsi="Times New Roman" w:cs="Times New Roman"/>
          <w:color w:val="auto"/>
          <w:highlight w:val="none"/>
          <w:lang w:val="en-US" w:eastAsia="zh-CN"/>
        </w:rPr>
        <w:t>km</w:t>
      </w:r>
      <w:r>
        <w:rPr>
          <w:rFonts w:hint="default" w:ascii="Times New Roman" w:hAnsi="Times New Roman" w:cs="Times New Roman"/>
          <w:color w:val="auto"/>
          <w:highlight w:val="none"/>
        </w:rPr>
        <w:t>，至白茆塘口宽达8.1</w:t>
      </w:r>
      <w:r>
        <w:rPr>
          <w:rFonts w:hint="default" w:ascii="Times New Roman" w:hAnsi="Times New Roman" w:cs="Times New Roman"/>
          <w:color w:val="auto"/>
          <w:highlight w:val="none"/>
          <w:lang w:val="en-US" w:eastAsia="zh-CN"/>
        </w:rPr>
        <w:t>km</w:t>
      </w:r>
      <w:r>
        <w:rPr>
          <w:rFonts w:hint="default" w:ascii="Times New Roman" w:hAnsi="Times New Roman" w:cs="Times New Roman"/>
          <w:color w:val="auto"/>
          <w:highlight w:val="none"/>
        </w:rPr>
        <w:t>。境内通江河道，据旧志记载已数易其位。1400余年前的梁代，曾有二十四浦，历经沧桑，大都湮没或改道。解放以来，自1958年至1965年经并港建闸和疏、开，现有福山塘、崔浦塘、望虞河、耿泾、海洋泾、常浒河、徐六泾、金泾、白茆塘等九河通江，芦浦塘因1975年在河口外筑堤围田，已淤塞。</w:t>
      </w:r>
    </w:p>
    <w:p w14:paraId="5F001586">
      <w:pPr>
        <w:rPr>
          <w:rFonts w:hint="eastAsia"/>
          <w:color w:val="auto"/>
          <w:highlight w:val="none"/>
          <w:lang w:val="en-US" w:eastAsia="zh-CN"/>
        </w:rPr>
      </w:pPr>
      <w:r>
        <w:rPr>
          <w:rFonts w:hint="eastAsia"/>
          <w:color w:val="auto"/>
          <w:highlight w:val="none"/>
          <w:lang w:val="en-US" w:eastAsia="zh-CN"/>
        </w:rPr>
        <w:t>企业雨水通过雨水明沟收集汇入雨水总排池达标雨水排入崔福河（北福山塘支流）。福山塘功能为工业用水。</w:t>
      </w:r>
    </w:p>
    <w:p w14:paraId="764B3DFE">
      <w:pPr>
        <w:rPr>
          <w:rFonts w:hint="default" w:ascii="Times New Roman" w:hAnsi="Times New Roman" w:cs="Times New Roman"/>
          <w:color w:val="auto"/>
          <w:highlight w:val="none"/>
        </w:rPr>
      </w:pPr>
      <w:r>
        <w:rPr>
          <w:rFonts w:hint="eastAsia"/>
          <w:color w:val="auto"/>
          <w:highlight w:val="none"/>
          <w:lang w:val="en-US" w:eastAsia="zh-CN"/>
        </w:rPr>
        <w:t>污水均排入车间污水收集池再由污水泵通过明管打入公司污水站处理达到纳管标准后排入园区污水厂2#污水收集池，</w:t>
      </w:r>
      <w:r>
        <w:rPr>
          <w:rFonts w:hint="default" w:ascii="Times New Roman" w:hAnsi="Times New Roman" w:cs="Times New Roman"/>
          <w:color w:val="auto"/>
          <w:highlight w:val="none"/>
          <w:lang w:val="en-US" w:eastAsia="zh-CN"/>
        </w:rPr>
        <w:t>再打至常熟中法工业水处理有限公司</w:t>
      </w:r>
      <w:r>
        <w:rPr>
          <w:rFonts w:hint="eastAsia" w:ascii="Times New Roman" w:hAnsi="Times New Roman" w:cs="Times New Roman"/>
          <w:color w:val="auto"/>
          <w:highlight w:val="none"/>
          <w:lang w:val="en-US" w:eastAsia="zh-CN"/>
        </w:rPr>
        <w:t>，经处理后达标后排入走马塘。</w:t>
      </w:r>
    </w:p>
    <w:p w14:paraId="079832BB">
      <w:pPr>
        <w:bidi w:val="0"/>
        <w:rPr>
          <w:rFonts w:hint="default"/>
        </w:rPr>
      </w:pPr>
      <w:r>
        <w:rPr>
          <w:rFonts w:hint="eastAsia"/>
          <w:lang w:val="en-US" w:eastAsia="zh-CN"/>
        </w:rPr>
        <w:t>一</w:t>
      </w:r>
      <w:r>
        <w:rPr>
          <w:rFonts w:hint="default"/>
        </w:rPr>
        <w:t>、北福山塘</w:t>
      </w:r>
      <w:r>
        <w:rPr>
          <w:rFonts w:hint="default"/>
          <w:lang w:eastAsia="zh-CN"/>
        </w:rPr>
        <w:t>：</w:t>
      </w:r>
      <w:r>
        <w:rPr>
          <w:rFonts w:hint="default"/>
        </w:rPr>
        <w:t>福山塘因流经福山而得名，又称福山港。1958年开凿望虞河，在谢桥镇北穿过福山塘，福山塘遂有北段、南段之分。北福山塘起于谢桥镇北套闸，向北流至福山镇东北通过福山闸入江。全长9.3</w:t>
      </w:r>
      <w:r>
        <w:rPr>
          <w:rFonts w:hint="default"/>
          <w:lang w:val="en-US" w:eastAsia="zh-CN"/>
        </w:rPr>
        <w:t>km</w:t>
      </w:r>
      <w:r>
        <w:rPr>
          <w:rFonts w:hint="default"/>
          <w:lang w:eastAsia="zh-CN"/>
        </w:rPr>
        <w:t>（</w:t>
      </w:r>
      <w:r>
        <w:rPr>
          <w:rFonts w:hint="default"/>
        </w:rPr>
        <w:t>福山闸外河段长0.2</w:t>
      </w:r>
      <w:r>
        <w:rPr>
          <w:rFonts w:hint="default"/>
          <w:lang w:val="en-US" w:eastAsia="zh-CN"/>
        </w:rPr>
        <w:t>km</w:t>
      </w:r>
      <w:r>
        <w:rPr>
          <w:rFonts w:hint="default"/>
          <w:lang w:eastAsia="zh-CN"/>
        </w:rPr>
        <w:t>）</w:t>
      </w:r>
      <w:r>
        <w:rPr>
          <w:rFonts w:hint="default"/>
        </w:rPr>
        <w:t>，底宽10~20</w:t>
      </w:r>
      <w:r>
        <w:rPr>
          <w:rFonts w:hint="default"/>
          <w:lang w:val="en-US" w:eastAsia="zh-CN"/>
        </w:rPr>
        <w:t>m</w:t>
      </w:r>
      <w:r>
        <w:rPr>
          <w:rFonts w:hint="default"/>
        </w:rPr>
        <w:t>。</w:t>
      </w:r>
    </w:p>
    <w:p w14:paraId="5E89C1A7">
      <w:pPr>
        <w:bidi w:val="0"/>
        <w:rPr>
          <w:rFonts w:hint="eastAsia"/>
          <w:lang w:eastAsia="zh-CN"/>
        </w:rPr>
      </w:pPr>
      <w:r>
        <w:rPr>
          <w:rFonts w:hint="eastAsia"/>
          <w:lang w:val="en-US" w:eastAsia="zh-CN"/>
        </w:rPr>
        <w:t>二</w:t>
      </w:r>
      <w:r>
        <w:rPr>
          <w:rFonts w:hint="default"/>
        </w:rPr>
        <w:t>、南福山塘</w:t>
      </w:r>
      <w:r>
        <w:rPr>
          <w:rFonts w:hint="default"/>
          <w:lang w:eastAsia="zh-CN"/>
        </w:rPr>
        <w:t>：</w:t>
      </w:r>
      <w:r>
        <w:rPr>
          <w:rFonts w:hint="default"/>
        </w:rPr>
        <w:t>由水北门外的护城河起，向北至谢桥镇北套闸止，全长8.7</w:t>
      </w:r>
      <w:r>
        <w:rPr>
          <w:rFonts w:hint="default"/>
          <w:lang w:val="en-US" w:eastAsia="zh-CN"/>
        </w:rPr>
        <w:t>km</w:t>
      </w:r>
      <w:r>
        <w:rPr>
          <w:rFonts w:hint="default"/>
        </w:rPr>
        <w:t>，底宽10</w:t>
      </w:r>
      <w:r>
        <w:rPr>
          <w:rFonts w:hint="default"/>
          <w:lang w:val="en-US" w:eastAsia="zh-CN"/>
        </w:rPr>
        <w:t>m</w:t>
      </w:r>
      <w:r>
        <w:rPr>
          <w:rFonts w:hint="default"/>
        </w:rPr>
        <w:t>河水南流时经护城河汇入常浒河。北福山塘与南福山塘均为北境引泄与航运的重要河道</w:t>
      </w:r>
      <w:r>
        <w:rPr>
          <w:rFonts w:hint="eastAsia"/>
          <w:lang w:eastAsia="zh-CN"/>
        </w:rPr>
        <w:t>。</w:t>
      </w:r>
    </w:p>
    <w:p w14:paraId="197CC1E0">
      <w:pPr>
        <w:bidi w:val="0"/>
        <w:rPr>
          <w:rFonts w:hint="eastAsia"/>
        </w:rPr>
      </w:pPr>
      <w:r>
        <w:rPr>
          <w:rFonts w:hint="eastAsia"/>
          <w:lang w:val="en-US" w:eastAsia="zh-CN"/>
        </w:rPr>
        <w:t>三、</w:t>
      </w:r>
      <w:r>
        <w:rPr>
          <w:rFonts w:hint="eastAsia"/>
        </w:rPr>
        <w:t>走马塘</w:t>
      </w:r>
      <w:r>
        <w:rPr>
          <w:rFonts w:hint="eastAsia"/>
          <w:lang w:eastAsia="zh-CN"/>
        </w:rPr>
        <w:t>：</w:t>
      </w:r>
      <w:r>
        <w:rPr>
          <w:rFonts w:hint="eastAsia"/>
        </w:rPr>
        <w:t>南起苏南运河，经无锡市新吴、锡山区，苏州市常熟市、张家港市，由七干河入江，全长66.51千米，其中苏州境内长27.51千米。河口宽45~70m，河底高程0.0~-1.0m（镇江吴淞基面），现状为六级航道。干河现状水质类别为Ⅲ类，沿线汇入支河水质类别为Ⅲ类。</w:t>
      </w:r>
    </w:p>
    <w:p w14:paraId="44693801">
      <w:pPr>
        <w:bidi w:val="0"/>
        <w:rPr>
          <w:rFonts w:hint="eastAsia"/>
        </w:rPr>
      </w:pPr>
      <w:r>
        <w:rPr>
          <w:rFonts w:hint="eastAsia"/>
        </w:rPr>
        <w:t>河道流经平原水网区，沿线支河口较多，两岸支流众多，主要有七干河、常青河、金坝河、面丈塘、曲塘泾、李家湾、芦浦塘、横塘河等48条。</w:t>
      </w:r>
    </w:p>
    <w:p w14:paraId="174B752F">
      <w:pPr>
        <w:bidi w:val="0"/>
        <w:rPr>
          <w:rFonts w:hint="eastAsia"/>
        </w:rPr>
      </w:pPr>
      <w:r>
        <w:rPr>
          <w:rFonts w:hint="eastAsia"/>
        </w:rPr>
        <w:t>走马塘沿线以绿化景观为主，少量居民住宅区及工矿企业，河道岸线利用程度相对较低。河道岸线总长54.71千米（按照临水边界线统计），已开发利用岸线长度6.84千米，岸线现状利用率为12.50%，重要基础设施占比最高。</w:t>
      </w:r>
    </w:p>
    <w:p w14:paraId="28E92238">
      <w:pPr>
        <w:bidi w:val="0"/>
        <w:ind w:left="0" w:leftChars="0" w:firstLine="0" w:firstLineChars="0"/>
        <w:rPr>
          <w:rFonts w:hint="default" w:ascii="Times New Roman" w:hAnsi="Times New Roman" w:cs="Times New Roman"/>
          <w:color w:val="auto"/>
          <w:highlight w:val="none"/>
        </w:rPr>
      </w:pPr>
      <w:r>
        <w:drawing>
          <wp:inline distT="0" distB="0" distL="114300" distR="114300">
            <wp:extent cx="5272405" cy="2664460"/>
            <wp:effectExtent l="9525" t="9525" r="13970" b="1206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42"/>
                    <a:stretch>
                      <a:fillRect/>
                    </a:stretch>
                  </pic:blipFill>
                  <pic:spPr>
                    <a:xfrm>
                      <a:off x="0" y="0"/>
                      <a:ext cx="5272405" cy="2664460"/>
                    </a:xfrm>
                    <a:prstGeom prst="rect">
                      <a:avLst/>
                    </a:prstGeom>
                    <a:noFill/>
                    <a:ln>
                      <a:solidFill>
                        <a:schemeClr val="tx1"/>
                      </a:solidFill>
                    </a:ln>
                  </pic:spPr>
                </pic:pic>
              </a:graphicData>
            </a:graphic>
          </wp:inline>
        </w:drawing>
      </w:r>
    </w:p>
    <w:p w14:paraId="670312A8">
      <w:pPr>
        <w:pStyle w:val="4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 2.4-1 常熟市地表水系图</w:t>
      </w:r>
    </w:p>
    <w:p w14:paraId="5A7AA709">
      <w:pPr>
        <w:pStyle w:val="3"/>
        <w:bidi w:val="0"/>
        <w:rPr>
          <w:rFonts w:hint="default" w:ascii="Times New Roman" w:hAnsi="Times New Roman" w:cs="Times New Roman"/>
          <w:color w:val="auto"/>
          <w:highlight w:val="none"/>
        </w:rPr>
      </w:pPr>
      <w:bookmarkStart w:id="78" w:name="_Toc19864"/>
      <w:r>
        <w:rPr>
          <w:rFonts w:hint="default" w:ascii="Times New Roman" w:hAnsi="Times New Roman" w:cs="Times New Roman"/>
          <w:color w:val="auto"/>
          <w:highlight w:val="none"/>
          <w:lang w:val="en-US" w:eastAsia="zh-CN"/>
        </w:rPr>
        <w:t xml:space="preserve">2.5 </w:t>
      </w:r>
      <w:r>
        <w:rPr>
          <w:rFonts w:hint="default" w:ascii="Times New Roman" w:hAnsi="Times New Roman" w:cs="Times New Roman"/>
          <w:color w:val="auto"/>
          <w:highlight w:val="none"/>
        </w:rPr>
        <w:t>周边自然环境质量状况</w:t>
      </w:r>
      <w:bookmarkEnd w:id="78"/>
    </w:p>
    <w:p w14:paraId="6AB3441F">
      <w:pPr>
        <w:bidi w:val="0"/>
        <w:rPr>
          <w:rFonts w:hint="default" w:ascii="Times New Roman" w:hAnsi="Times New Roman" w:cs="Times New Roman"/>
          <w:color w:val="auto"/>
          <w:highlight w:val="none"/>
          <w:lang w:val="en-US" w:eastAsia="zh-CN"/>
        </w:rPr>
      </w:pPr>
      <w:r>
        <w:rPr>
          <w:rFonts w:hint="eastAsia" w:cs="Times New Roman"/>
          <w:b/>
          <w:bCs/>
          <w:color w:val="auto"/>
          <w:highlight w:val="none"/>
          <w:lang w:val="en-US" w:eastAsia="zh-CN"/>
        </w:rPr>
        <w:t>1、</w:t>
      </w:r>
      <w:r>
        <w:rPr>
          <w:rFonts w:hint="default" w:ascii="Times New Roman" w:hAnsi="Times New Roman" w:cs="Times New Roman"/>
          <w:b/>
          <w:bCs/>
          <w:color w:val="auto"/>
          <w:highlight w:val="none"/>
          <w:lang w:val="en-US" w:eastAsia="zh-CN"/>
        </w:rPr>
        <w:t>大气质量现状</w:t>
      </w:r>
      <w:r>
        <w:rPr>
          <w:rFonts w:hint="default" w:ascii="Times New Roman" w:hAnsi="Times New Roman" w:cs="Times New Roman"/>
          <w:color w:val="auto"/>
          <w:highlight w:val="none"/>
          <w:lang w:val="en-US" w:eastAsia="zh-CN"/>
        </w:rPr>
        <w:t>：</w:t>
      </w:r>
    </w:p>
    <w:p w14:paraId="4A0882D0">
      <w:pPr>
        <w:bidi w:val="0"/>
        <w:rPr>
          <w:rFonts w:hint="eastAsia" w:ascii="Times New Roman" w:hAnsi="Times New Roman" w:cs="Times New Roman"/>
          <w:bCs/>
          <w:color w:val="auto"/>
          <w:highlight w:val="none"/>
          <w:lang w:eastAsia="zh-CN"/>
        </w:rPr>
      </w:pPr>
      <w:r>
        <w:rPr>
          <w:rFonts w:hint="default" w:ascii="Times New Roman" w:hAnsi="Times New Roman" w:cs="Times New Roman"/>
          <w:bCs/>
          <w:color w:val="auto"/>
          <w:highlight w:val="none"/>
        </w:rPr>
        <w:t>现有工程</w:t>
      </w:r>
      <w:r>
        <w:rPr>
          <w:rFonts w:hint="default" w:ascii="Times New Roman" w:hAnsi="Times New Roman" w:cs="Times New Roman"/>
          <w:bCs/>
          <w:color w:val="auto"/>
          <w:highlight w:val="none"/>
          <w:lang w:val="en-US" w:eastAsia="zh-CN"/>
        </w:rPr>
        <w:t>厂界</w:t>
      </w:r>
      <w:r>
        <w:rPr>
          <w:rFonts w:hint="default" w:ascii="Times New Roman" w:hAnsi="Times New Roman" w:cs="Times New Roman"/>
          <w:bCs/>
          <w:color w:val="auto"/>
          <w:highlight w:val="none"/>
        </w:rPr>
        <w:t>无组织废气</w:t>
      </w:r>
      <w:r>
        <w:rPr>
          <w:rFonts w:hint="default" w:ascii="Times New Roman" w:hAnsi="Times New Roman" w:cs="Times New Roman"/>
          <w:bCs/>
          <w:color w:val="auto"/>
          <w:highlight w:val="none"/>
          <w:lang w:val="en-US" w:eastAsia="zh-CN"/>
        </w:rPr>
        <w:t>监测数据</w:t>
      </w:r>
      <w:r>
        <w:rPr>
          <w:rFonts w:hint="default" w:ascii="Times New Roman" w:hAnsi="Times New Roman" w:cs="Times New Roman"/>
          <w:bCs/>
          <w:color w:val="auto"/>
          <w:highlight w:val="none"/>
        </w:rPr>
        <w:t>采用苏州国诚检测技术有限公司对</w:t>
      </w:r>
      <w:r>
        <w:rPr>
          <w:rFonts w:hint="default" w:ascii="Times New Roman" w:hAnsi="Times New Roman" w:cs="Times New Roman"/>
          <w:bCs/>
          <w:color w:val="auto"/>
          <w:highlight w:val="none"/>
          <w:lang w:val="en-US" w:eastAsia="zh-CN"/>
        </w:rPr>
        <w:t>常熟三爱富氟化工有限责任公司</w:t>
      </w:r>
      <w:r>
        <w:rPr>
          <w:rFonts w:hint="default" w:ascii="Times New Roman" w:hAnsi="Times New Roman" w:cs="Times New Roman"/>
          <w:bCs/>
          <w:color w:val="auto"/>
          <w:highlight w:val="none"/>
        </w:rPr>
        <w:t>202</w:t>
      </w:r>
      <w:r>
        <w:rPr>
          <w:rFonts w:hint="default" w:ascii="Times New Roman" w:hAnsi="Times New Roman" w:cs="Times New Roman"/>
          <w:bCs/>
          <w:color w:val="auto"/>
          <w:highlight w:val="none"/>
          <w:lang w:val="en-US" w:eastAsia="zh-CN"/>
        </w:rPr>
        <w:t>4</w:t>
      </w:r>
      <w:r>
        <w:rPr>
          <w:rFonts w:hint="default" w:ascii="Times New Roman" w:hAnsi="Times New Roman" w:cs="Times New Roman"/>
          <w:bCs/>
          <w:color w:val="auto"/>
          <w:highlight w:val="none"/>
        </w:rPr>
        <w:t>年</w:t>
      </w:r>
      <w:r>
        <w:rPr>
          <w:rFonts w:hint="eastAsia" w:ascii="Times New Roman" w:hAnsi="Times New Roman" w:cs="Times New Roman"/>
          <w:bCs/>
          <w:color w:val="auto"/>
          <w:highlight w:val="none"/>
          <w:lang w:val="en-US" w:eastAsia="zh-CN"/>
        </w:rPr>
        <w:t>11月的</w:t>
      </w:r>
      <w:r>
        <w:rPr>
          <w:rFonts w:hint="default" w:ascii="Times New Roman" w:hAnsi="Times New Roman" w:cs="Times New Roman"/>
          <w:bCs/>
          <w:color w:val="auto"/>
          <w:highlight w:val="none"/>
        </w:rPr>
        <w:t>监测</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报告编号：</w:t>
      </w:r>
      <w:r>
        <w:rPr>
          <w:rFonts w:hint="default" w:ascii="Times New Roman" w:hAnsi="Times New Roman" w:cs="Times New Roman"/>
          <w:bCs/>
          <w:color w:val="auto"/>
          <w:highlight w:val="none"/>
          <w:lang w:val="en-US" w:eastAsia="zh-CN"/>
        </w:rPr>
        <w:t>环检-E2410441</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的监测数据</w:t>
      </w:r>
      <w:r>
        <w:rPr>
          <w:rFonts w:hint="default" w:ascii="Times New Roman" w:hAnsi="Times New Roman" w:cs="Times New Roman"/>
          <w:bCs/>
          <w:color w:val="auto"/>
          <w:highlight w:val="none"/>
        </w:rPr>
        <w:t>。</w:t>
      </w:r>
    </w:p>
    <w:p w14:paraId="329CE150">
      <w:pPr>
        <w:bidi w:val="0"/>
        <w:ind w:left="0" w:leftChars="0" w:firstLine="0" w:firstLineChars="0"/>
        <w:jc w:val="center"/>
        <w:rPr>
          <w:color w:val="auto"/>
        </w:rPr>
      </w:pPr>
      <w:r>
        <w:rPr>
          <w:color w:val="auto"/>
        </w:rPr>
        <w:drawing>
          <wp:inline distT="0" distB="0" distL="114300" distR="114300">
            <wp:extent cx="5271135" cy="3698240"/>
            <wp:effectExtent l="9525" t="9525" r="15240" b="2603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43"/>
                    <a:stretch>
                      <a:fillRect/>
                    </a:stretch>
                  </pic:blipFill>
                  <pic:spPr>
                    <a:xfrm>
                      <a:off x="0" y="0"/>
                      <a:ext cx="5271135" cy="3698240"/>
                    </a:xfrm>
                    <a:prstGeom prst="rect">
                      <a:avLst/>
                    </a:prstGeom>
                    <a:noFill/>
                    <a:ln>
                      <a:solidFill>
                        <a:schemeClr val="tx1"/>
                      </a:solidFill>
                    </a:ln>
                  </pic:spPr>
                </pic:pic>
              </a:graphicData>
            </a:graphic>
          </wp:inline>
        </w:drawing>
      </w:r>
    </w:p>
    <w:p w14:paraId="49151A99">
      <w:pPr>
        <w:pStyle w:val="47"/>
        <w:bidi w:val="0"/>
        <w:rPr>
          <w:rFonts w:hint="default"/>
          <w:color w:val="auto"/>
        </w:rPr>
      </w:pPr>
      <w:r>
        <w:rPr>
          <w:rFonts w:hint="default"/>
          <w:color w:val="auto"/>
        </w:rPr>
        <w:t>图</w:t>
      </w:r>
      <w:r>
        <w:rPr>
          <w:rFonts w:hint="eastAsia"/>
          <w:color w:val="auto"/>
          <w:lang w:val="en-US" w:eastAsia="zh-CN"/>
        </w:rPr>
        <w:t xml:space="preserve"> 2.5-1</w:t>
      </w:r>
      <w:r>
        <w:rPr>
          <w:rFonts w:hint="default"/>
          <w:color w:val="auto"/>
        </w:rPr>
        <w:t xml:space="preserve"> 无组织</w:t>
      </w:r>
      <w:r>
        <w:rPr>
          <w:rFonts w:hint="eastAsia"/>
          <w:color w:val="auto"/>
          <w:lang w:val="en-US" w:eastAsia="zh-CN"/>
        </w:rPr>
        <w:t>废气</w:t>
      </w:r>
      <w:r>
        <w:rPr>
          <w:rFonts w:hint="default"/>
          <w:color w:val="auto"/>
        </w:rPr>
        <w:t>监测布点图</w:t>
      </w:r>
    </w:p>
    <w:p w14:paraId="3E857E6D">
      <w:pPr>
        <w:pStyle w:val="46"/>
        <w:bidi w:val="0"/>
        <w:rPr>
          <w:rFonts w:hint="default"/>
          <w:color w:val="auto"/>
        </w:rPr>
      </w:pPr>
      <w:r>
        <w:rPr>
          <w:rFonts w:hint="default"/>
          <w:color w:val="auto"/>
        </w:rPr>
        <w:t>表</w:t>
      </w:r>
      <w:r>
        <w:rPr>
          <w:rFonts w:hint="eastAsia"/>
          <w:color w:val="auto"/>
          <w:lang w:val="en-US" w:eastAsia="zh-CN"/>
        </w:rPr>
        <w:t xml:space="preserve"> 2.5-1</w:t>
      </w:r>
      <w:r>
        <w:rPr>
          <w:rFonts w:hint="default"/>
          <w:color w:val="auto"/>
        </w:rPr>
        <w:t xml:space="preserve"> 厂界无组织废气监测结果一览表</w:t>
      </w:r>
      <w:r>
        <w:rPr>
          <w:rFonts w:hint="eastAsia"/>
          <w:color w:val="auto"/>
          <w:lang w:val="en-US" w:eastAsia="zh-CN"/>
        </w:rPr>
        <w:t xml:space="preserve"> </w:t>
      </w:r>
      <w:r>
        <w:rPr>
          <w:rFonts w:hint="default"/>
          <w:color w:val="auto"/>
        </w:rPr>
        <w:t>单位：mg/m</w:t>
      </w:r>
      <w:r>
        <w:rPr>
          <w:rFonts w:hint="default"/>
          <w:color w:val="auto"/>
          <w:vertAlign w:val="superscript"/>
        </w:rPr>
        <w:t>3</w:t>
      </w:r>
    </w:p>
    <w:tbl>
      <w:tblPr>
        <w:tblStyle w:val="29"/>
        <w:tblW w:w="56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1243"/>
        <w:gridCol w:w="1103"/>
        <w:gridCol w:w="1075"/>
        <w:gridCol w:w="1075"/>
        <w:gridCol w:w="1075"/>
        <w:gridCol w:w="1078"/>
        <w:gridCol w:w="981"/>
      </w:tblGrid>
      <w:tr w14:paraId="74BF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60" w:type="pct"/>
            <w:vAlign w:val="center"/>
          </w:tcPr>
          <w:p w14:paraId="32600670">
            <w:pPr>
              <w:pStyle w:val="45"/>
              <w:bidi w:val="0"/>
              <w:rPr>
                <w:rFonts w:hint="default"/>
                <w:color w:val="auto"/>
              </w:rPr>
            </w:pPr>
            <w:r>
              <w:rPr>
                <w:rFonts w:hint="default"/>
                <w:color w:val="auto"/>
              </w:rPr>
              <w:t>项目</w:t>
            </w:r>
          </w:p>
        </w:tc>
        <w:tc>
          <w:tcPr>
            <w:tcW w:w="641" w:type="pct"/>
            <w:vAlign w:val="center"/>
          </w:tcPr>
          <w:p w14:paraId="75955764">
            <w:pPr>
              <w:pStyle w:val="45"/>
              <w:bidi w:val="0"/>
              <w:rPr>
                <w:rFonts w:hint="default"/>
                <w:color w:val="auto"/>
              </w:rPr>
            </w:pPr>
            <w:r>
              <w:rPr>
                <w:rFonts w:hint="default"/>
                <w:color w:val="auto"/>
              </w:rPr>
              <w:t>采样日期</w:t>
            </w:r>
          </w:p>
        </w:tc>
        <w:tc>
          <w:tcPr>
            <w:tcW w:w="569" w:type="pct"/>
            <w:vAlign w:val="center"/>
          </w:tcPr>
          <w:p w14:paraId="0ED8D91D">
            <w:pPr>
              <w:pStyle w:val="45"/>
              <w:bidi w:val="0"/>
              <w:rPr>
                <w:rFonts w:hint="default"/>
                <w:color w:val="auto"/>
              </w:rPr>
            </w:pPr>
            <w:r>
              <w:rPr>
                <w:rFonts w:hint="default"/>
                <w:color w:val="auto"/>
              </w:rPr>
              <w:t>采样</w:t>
            </w:r>
          </w:p>
          <w:p w14:paraId="3BFE0487">
            <w:pPr>
              <w:pStyle w:val="45"/>
              <w:bidi w:val="0"/>
              <w:rPr>
                <w:rFonts w:hint="default"/>
                <w:color w:val="auto"/>
              </w:rPr>
            </w:pPr>
            <w:r>
              <w:rPr>
                <w:rFonts w:hint="default"/>
                <w:color w:val="auto"/>
              </w:rPr>
              <w:t>频次</w:t>
            </w:r>
          </w:p>
        </w:tc>
        <w:tc>
          <w:tcPr>
            <w:tcW w:w="555" w:type="pct"/>
            <w:vAlign w:val="center"/>
          </w:tcPr>
          <w:p w14:paraId="7673F3A1">
            <w:pPr>
              <w:pStyle w:val="45"/>
              <w:bidi w:val="0"/>
              <w:rPr>
                <w:rFonts w:hint="default"/>
                <w:color w:val="auto"/>
                <w:lang w:val="en-US"/>
              </w:rPr>
            </w:pPr>
            <w:r>
              <w:rPr>
                <w:rFonts w:hint="eastAsia"/>
                <w:color w:val="auto"/>
                <w:lang w:val="en-US" w:eastAsia="zh-CN"/>
              </w:rPr>
              <w:t>EG01</w:t>
            </w:r>
          </w:p>
        </w:tc>
        <w:tc>
          <w:tcPr>
            <w:tcW w:w="555" w:type="pct"/>
            <w:vAlign w:val="center"/>
          </w:tcPr>
          <w:p w14:paraId="5A009B15">
            <w:pPr>
              <w:pStyle w:val="45"/>
              <w:bidi w:val="0"/>
              <w:rPr>
                <w:rFonts w:hint="default"/>
                <w:color w:val="auto"/>
                <w:lang w:val="en-US" w:eastAsia="zh-CN"/>
              </w:rPr>
            </w:pPr>
            <w:r>
              <w:rPr>
                <w:rFonts w:hint="eastAsia"/>
                <w:color w:val="auto"/>
                <w:lang w:val="en-US" w:eastAsia="zh-CN"/>
              </w:rPr>
              <w:t>EG02</w:t>
            </w:r>
          </w:p>
        </w:tc>
        <w:tc>
          <w:tcPr>
            <w:tcW w:w="555" w:type="pct"/>
            <w:vAlign w:val="center"/>
          </w:tcPr>
          <w:p w14:paraId="6675390D">
            <w:pPr>
              <w:pStyle w:val="45"/>
              <w:bidi w:val="0"/>
              <w:rPr>
                <w:rFonts w:hint="default"/>
                <w:color w:val="auto"/>
                <w:lang w:val="en-US" w:eastAsia="zh-CN"/>
              </w:rPr>
            </w:pPr>
            <w:r>
              <w:rPr>
                <w:rFonts w:hint="eastAsia"/>
                <w:color w:val="auto"/>
                <w:lang w:val="en-US" w:eastAsia="zh-CN"/>
              </w:rPr>
              <w:t>EG03</w:t>
            </w:r>
          </w:p>
        </w:tc>
        <w:tc>
          <w:tcPr>
            <w:tcW w:w="556" w:type="pct"/>
            <w:vAlign w:val="center"/>
          </w:tcPr>
          <w:p w14:paraId="1BA86263">
            <w:pPr>
              <w:pStyle w:val="45"/>
              <w:bidi w:val="0"/>
              <w:rPr>
                <w:rFonts w:hint="default"/>
                <w:color w:val="auto"/>
                <w:lang w:val="en-US" w:eastAsia="zh-CN"/>
              </w:rPr>
            </w:pPr>
            <w:r>
              <w:rPr>
                <w:rFonts w:hint="eastAsia"/>
                <w:color w:val="auto"/>
                <w:lang w:val="en-US" w:eastAsia="zh-CN"/>
              </w:rPr>
              <w:t>EG04</w:t>
            </w:r>
          </w:p>
        </w:tc>
        <w:tc>
          <w:tcPr>
            <w:tcW w:w="506" w:type="pct"/>
            <w:vAlign w:val="center"/>
          </w:tcPr>
          <w:p w14:paraId="0AB942E4">
            <w:pPr>
              <w:pStyle w:val="45"/>
              <w:bidi w:val="0"/>
              <w:rPr>
                <w:rFonts w:hint="default"/>
                <w:color w:val="auto"/>
              </w:rPr>
            </w:pPr>
            <w:r>
              <w:rPr>
                <w:rFonts w:hint="default"/>
                <w:color w:val="auto"/>
              </w:rPr>
              <w:t>标准值</w:t>
            </w:r>
          </w:p>
        </w:tc>
      </w:tr>
      <w:tr w14:paraId="41D3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shd w:val="clear" w:color="auto" w:fill="auto"/>
            <w:vAlign w:val="center"/>
          </w:tcPr>
          <w:p w14:paraId="4B63DEB6">
            <w:pPr>
              <w:pStyle w:val="45"/>
              <w:bidi w:val="0"/>
              <w:rPr>
                <w:rFonts w:hint="default"/>
                <w:color w:val="auto"/>
                <w:lang w:val="en-US" w:eastAsia="zh-CN"/>
              </w:rPr>
            </w:pPr>
            <w:r>
              <w:rPr>
                <w:rFonts w:hint="eastAsia"/>
                <w:color w:val="auto"/>
                <w:lang w:val="en-US" w:eastAsia="zh-CN"/>
              </w:rPr>
              <w:t>颗粒物</w:t>
            </w:r>
          </w:p>
        </w:tc>
        <w:tc>
          <w:tcPr>
            <w:tcW w:w="641" w:type="pct"/>
            <w:shd w:val="clear" w:color="auto" w:fill="auto"/>
            <w:vAlign w:val="center"/>
          </w:tcPr>
          <w:p w14:paraId="2402D5F2">
            <w:pPr>
              <w:pStyle w:val="45"/>
              <w:bidi w:val="0"/>
              <w:rPr>
                <w:rFonts w:hint="default"/>
                <w:color w:val="auto"/>
                <w:lang w:val="en-US" w:eastAsia="zh-CN"/>
              </w:rPr>
            </w:pPr>
            <w:r>
              <w:rPr>
                <w:rFonts w:hint="eastAsia"/>
                <w:color w:val="auto"/>
                <w:lang w:val="en-US" w:eastAsia="zh-CN"/>
              </w:rPr>
              <w:t>2024.11.22</w:t>
            </w:r>
          </w:p>
        </w:tc>
        <w:tc>
          <w:tcPr>
            <w:tcW w:w="569" w:type="pct"/>
            <w:shd w:val="clear" w:color="auto" w:fill="auto"/>
            <w:vAlign w:val="center"/>
          </w:tcPr>
          <w:p w14:paraId="5D6FA759">
            <w:pPr>
              <w:pStyle w:val="45"/>
              <w:bidi w:val="0"/>
              <w:rPr>
                <w:rFonts w:hint="default"/>
                <w:color w:val="auto"/>
                <w:lang w:val="en-US" w:eastAsia="zh-CN"/>
              </w:rPr>
            </w:pPr>
            <w:r>
              <w:rPr>
                <w:rFonts w:hint="eastAsia"/>
                <w:color w:val="auto"/>
                <w:lang w:val="en-US" w:eastAsia="zh-CN"/>
              </w:rPr>
              <w:t>1</w:t>
            </w:r>
          </w:p>
        </w:tc>
        <w:tc>
          <w:tcPr>
            <w:tcW w:w="555" w:type="pct"/>
            <w:shd w:val="clear" w:color="auto" w:fill="auto"/>
            <w:vAlign w:val="center"/>
          </w:tcPr>
          <w:p w14:paraId="2F594EDB">
            <w:pPr>
              <w:pStyle w:val="45"/>
              <w:bidi w:val="0"/>
              <w:rPr>
                <w:rFonts w:hint="default"/>
                <w:color w:val="auto"/>
                <w:lang w:val="en-US" w:eastAsia="zh-CN"/>
              </w:rPr>
            </w:pPr>
            <w:r>
              <w:rPr>
                <w:rFonts w:hint="eastAsia"/>
                <w:color w:val="auto"/>
                <w:lang w:val="en-US" w:eastAsia="zh-CN"/>
              </w:rPr>
              <w:t>0.251</w:t>
            </w:r>
          </w:p>
        </w:tc>
        <w:tc>
          <w:tcPr>
            <w:tcW w:w="555" w:type="pct"/>
            <w:shd w:val="clear" w:color="auto" w:fill="auto"/>
            <w:vAlign w:val="center"/>
          </w:tcPr>
          <w:p w14:paraId="3D612CB6">
            <w:pPr>
              <w:pStyle w:val="45"/>
              <w:bidi w:val="0"/>
              <w:rPr>
                <w:rFonts w:hint="default"/>
                <w:color w:val="auto"/>
                <w:lang w:val="en-US" w:eastAsia="zh-CN"/>
              </w:rPr>
            </w:pPr>
            <w:r>
              <w:rPr>
                <w:rFonts w:hint="eastAsia"/>
                <w:color w:val="auto"/>
                <w:lang w:val="en-US" w:eastAsia="zh-CN"/>
              </w:rPr>
              <w:t>0.260</w:t>
            </w:r>
          </w:p>
        </w:tc>
        <w:tc>
          <w:tcPr>
            <w:tcW w:w="555" w:type="pct"/>
            <w:shd w:val="clear" w:color="auto" w:fill="auto"/>
            <w:vAlign w:val="center"/>
          </w:tcPr>
          <w:p w14:paraId="10D532A5">
            <w:pPr>
              <w:pStyle w:val="45"/>
              <w:bidi w:val="0"/>
              <w:rPr>
                <w:rFonts w:hint="default"/>
                <w:color w:val="auto"/>
                <w:lang w:val="en-US" w:eastAsia="zh-CN"/>
              </w:rPr>
            </w:pPr>
            <w:r>
              <w:rPr>
                <w:rFonts w:hint="eastAsia"/>
                <w:color w:val="auto"/>
                <w:lang w:val="en-US" w:eastAsia="zh-CN"/>
              </w:rPr>
              <w:t>0.256</w:t>
            </w:r>
          </w:p>
        </w:tc>
        <w:tc>
          <w:tcPr>
            <w:tcW w:w="556" w:type="pct"/>
            <w:shd w:val="clear" w:color="auto" w:fill="auto"/>
            <w:vAlign w:val="center"/>
          </w:tcPr>
          <w:p w14:paraId="0F48BAB6">
            <w:pPr>
              <w:pStyle w:val="45"/>
              <w:bidi w:val="0"/>
              <w:rPr>
                <w:rFonts w:hint="default"/>
                <w:color w:val="auto"/>
                <w:lang w:val="en-US" w:eastAsia="zh-CN"/>
              </w:rPr>
            </w:pPr>
            <w:r>
              <w:rPr>
                <w:rFonts w:hint="eastAsia"/>
                <w:color w:val="auto"/>
                <w:lang w:val="en-US" w:eastAsia="zh-CN"/>
              </w:rPr>
              <w:t>0.248</w:t>
            </w:r>
          </w:p>
        </w:tc>
        <w:tc>
          <w:tcPr>
            <w:tcW w:w="506" w:type="pct"/>
            <w:vAlign w:val="center"/>
          </w:tcPr>
          <w:p w14:paraId="19A3D6E3">
            <w:pPr>
              <w:pStyle w:val="45"/>
              <w:bidi w:val="0"/>
              <w:rPr>
                <w:rFonts w:hint="default"/>
                <w:color w:val="auto"/>
                <w:lang w:val="en-US" w:eastAsia="zh-CN"/>
              </w:rPr>
            </w:pPr>
            <w:r>
              <w:rPr>
                <w:rFonts w:hint="eastAsia"/>
                <w:color w:val="auto"/>
                <w:lang w:val="en-US" w:eastAsia="zh-CN"/>
              </w:rPr>
              <w:t>0.5</w:t>
            </w:r>
          </w:p>
        </w:tc>
      </w:tr>
      <w:tr w14:paraId="6EED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shd w:val="clear" w:color="auto" w:fill="auto"/>
            <w:vAlign w:val="center"/>
          </w:tcPr>
          <w:p w14:paraId="43C0559B">
            <w:pPr>
              <w:pStyle w:val="45"/>
              <w:bidi w:val="0"/>
              <w:rPr>
                <w:rFonts w:hint="default"/>
                <w:color w:val="auto"/>
                <w:lang w:val="en-US" w:eastAsia="zh-CN"/>
              </w:rPr>
            </w:pPr>
            <w:r>
              <w:rPr>
                <w:rFonts w:hint="default"/>
                <w:color w:val="auto"/>
                <w:lang w:val="en-US" w:eastAsia="zh-CN"/>
              </w:rPr>
              <w:t>非甲烷总烃(以碳计)</w:t>
            </w:r>
          </w:p>
        </w:tc>
        <w:tc>
          <w:tcPr>
            <w:tcW w:w="641" w:type="pct"/>
            <w:vMerge w:val="restart"/>
            <w:shd w:val="clear" w:color="auto" w:fill="auto"/>
            <w:vAlign w:val="center"/>
          </w:tcPr>
          <w:p w14:paraId="539E052C">
            <w:pPr>
              <w:pStyle w:val="45"/>
              <w:bidi w:val="0"/>
              <w:rPr>
                <w:rFonts w:hint="default"/>
                <w:color w:val="auto"/>
                <w:lang w:val="en-US" w:eastAsia="zh-CN"/>
              </w:rPr>
            </w:pPr>
            <w:r>
              <w:rPr>
                <w:rFonts w:hint="eastAsia"/>
                <w:color w:val="auto"/>
                <w:lang w:val="en-US" w:eastAsia="zh-CN"/>
              </w:rPr>
              <w:t>2024.11.22</w:t>
            </w:r>
          </w:p>
        </w:tc>
        <w:tc>
          <w:tcPr>
            <w:tcW w:w="569" w:type="pct"/>
            <w:shd w:val="clear" w:color="auto" w:fill="auto"/>
            <w:vAlign w:val="center"/>
          </w:tcPr>
          <w:p w14:paraId="70E72C34">
            <w:pPr>
              <w:pStyle w:val="45"/>
              <w:bidi w:val="0"/>
              <w:rPr>
                <w:rFonts w:hint="default"/>
                <w:color w:val="auto"/>
                <w:lang w:val="en-US" w:eastAsia="zh-CN"/>
              </w:rPr>
            </w:pPr>
            <w:r>
              <w:rPr>
                <w:rFonts w:hint="eastAsia"/>
                <w:color w:val="auto"/>
                <w:lang w:val="en-US" w:eastAsia="zh-CN"/>
              </w:rPr>
              <w:t>1</w:t>
            </w:r>
          </w:p>
        </w:tc>
        <w:tc>
          <w:tcPr>
            <w:tcW w:w="555" w:type="pct"/>
            <w:shd w:val="clear" w:color="auto" w:fill="auto"/>
            <w:vAlign w:val="center"/>
          </w:tcPr>
          <w:p w14:paraId="0B594047">
            <w:pPr>
              <w:pStyle w:val="45"/>
              <w:bidi w:val="0"/>
              <w:rPr>
                <w:rFonts w:hint="default"/>
                <w:color w:val="auto"/>
                <w:lang w:val="en-US" w:eastAsia="zh-CN"/>
              </w:rPr>
            </w:pPr>
            <w:r>
              <w:rPr>
                <w:rFonts w:hint="eastAsia"/>
                <w:color w:val="auto"/>
                <w:lang w:val="en-US" w:eastAsia="zh-CN"/>
              </w:rPr>
              <w:t>1.84</w:t>
            </w:r>
          </w:p>
        </w:tc>
        <w:tc>
          <w:tcPr>
            <w:tcW w:w="555" w:type="pct"/>
            <w:shd w:val="clear" w:color="auto" w:fill="auto"/>
            <w:vAlign w:val="center"/>
          </w:tcPr>
          <w:p w14:paraId="14474D59">
            <w:pPr>
              <w:pStyle w:val="45"/>
              <w:bidi w:val="0"/>
              <w:rPr>
                <w:rFonts w:hint="default"/>
                <w:color w:val="auto"/>
                <w:lang w:val="en-US" w:eastAsia="zh-CN"/>
              </w:rPr>
            </w:pPr>
            <w:r>
              <w:rPr>
                <w:rFonts w:hint="eastAsia"/>
                <w:color w:val="auto"/>
                <w:lang w:val="en-US" w:eastAsia="zh-CN"/>
              </w:rPr>
              <w:t>2.03</w:t>
            </w:r>
          </w:p>
        </w:tc>
        <w:tc>
          <w:tcPr>
            <w:tcW w:w="555" w:type="pct"/>
            <w:shd w:val="clear" w:color="auto" w:fill="auto"/>
            <w:vAlign w:val="center"/>
          </w:tcPr>
          <w:p w14:paraId="6028827B">
            <w:pPr>
              <w:pStyle w:val="45"/>
              <w:bidi w:val="0"/>
              <w:rPr>
                <w:rFonts w:hint="default"/>
                <w:color w:val="auto"/>
                <w:lang w:val="en-US" w:eastAsia="zh-CN"/>
              </w:rPr>
            </w:pPr>
            <w:r>
              <w:rPr>
                <w:rFonts w:hint="eastAsia"/>
                <w:color w:val="auto"/>
                <w:lang w:val="en-US" w:eastAsia="zh-CN"/>
              </w:rPr>
              <w:t>1.90</w:t>
            </w:r>
          </w:p>
        </w:tc>
        <w:tc>
          <w:tcPr>
            <w:tcW w:w="556" w:type="pct"/>
            <w:shd w:val="clear" w:color="auto" w:fill="auto"/>
            <w:vAlign w:val="center"/>
          </w:tcPr>
          <w:p w14:paraId="771CD3DF">
            <w:pPr>
              <w:pStyle w:val="45"/>
              <w:bidi w:val="0"/>
              <w:rPr>
                <w:rFonts w:hint="default"/>
                <w:color w:val="auto"/>
                <w:lang w:val="en-US" w:eastAsia="zh-CN"/>
              </w:rPr>
            </w:pPr>
            <w:r>
              <w:rPr>
                <w:rFonts w:hint="eastAsia"/>
                <w:color w:val="auto"/>
                <w:lang w:val="en-US" w:eastAsia="zh-CN"/>
              </w:rPr>
              <w:t>1.72</w:t>
            </w:r>
          </w:p>
        </w:tc>
        <w:tc>
          <w:tcPr>
            <w:tcW w:w="506" w:type="pct"/>
            <w:vMerge w:val="restart"/>
            <w:vAlign w:val="center"/>
          </w:tcPr>
          <w:p w14:paraId="34513C59">
            <w:pPr>
              <w:pStyle w:val="45"/>
              <w:bidi w:val="0"/>
              <w:rPr>
                <w:rFonts w:hint="default"/>
                <w:color w:val="auto"/>
                <w:lang w:val="en-US" w:eastAsia="zh-CN"/>
              </w:rPr>
            </w:pPr>
            <w:r>
              <w:rPr>
                <w:rFonts w:hint="eastAsia"/>
                <w:color w:val="auto"/>
                <w:lang w:val="en-US" w:eastAsia="zh-CN"/>
              </w:rPr>
              <w:t>4.0</w:t>
            </w:r>
          </w:p>
        </w:tc>
      </w:tr>
      <w:tr w14:paraId="5344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34F53F4D">
            <w:pPr>
              <w:pStyle w:val="45"/>
              <w:bidi w:val="0"/>
              <w:rPr>
                <w:rFonts w:hint="default"/>
                <w:color w:val="auto"/>
              </w:rPr>
            </w:pPr>
          </w:p>
        </w:tc>
        <w:tc>
          <w:tcPr>
            <w:tcW w:w="641" w:type="pct"/>
            <w:vMerge w:val="continue"/>
            <w:vAlign w:val="center"/>
          </w:tcPr>
          <w:p w14:paraId="0B2C17B1">
            <w:pPr>
              <w:pStyle w:val="45"/>
              <w:bidi w:val="0"/>
              <w:rPr>
                <w:rFonts w:hint="default"/>
                <w:color w:val="auto"/>
              </w:rPr>
            </w:pPr>
          </w:p>
        </w:tc>
        <w:tc>
          <w:tcPr>
            <w:tcW w:w="569" w:type="pct"/>
            <w:shd w:val="clear" w:color="auto" w:fill="auto"/>
            <w:vAlign w:val="center"/>
          </w:tcPr>
          <w:p w14:paraId="7A1CA9AA">
            <w:pPr>
              <w:pStyle w:val="45"/>
              <w:bidi w:val="0"/>
              <w:rPr>
                <w:rFonts w:hint="default"/>
                <w:color w:val="auto"/>
                <w:lang w:val="en-US" w:eastAsia="zh-CN"/>
              </w:rPr>
            </w:pPr>
            <w:r>
              <w:rPr>
                <w:rFonts w:hint="eastAsia"/>
                <w:color w:val="auto"/>
                <w:lang w:val="en-US" w:eastAsia="zh-CN"/>
              </w:rPr>
              <w:t>2</w:t>
            </w:r>
          </w:p>
        </w:tc>
        <w:tc>
          <w:tcPr>
            <w:tcW w:w="555" w:type="pct"/>
            <w:shd w:val="clear" w:color="auto" w:fill="auto"/>
            <w:vAlign w:val="center"/>
          </w:tcPr>
          <w:p w14:paraId="28C4636E">
            <w:pPr>
              <w:pStyle w:val="45"/>
              <w:bidi w:val="0"/>
              <w:rPr>
                <w:rFonts w:hint="default"/>
                <w:color w:val="auto"/>
                <w:lang w:val="en-US" w:eastAsia="zh-CN"/>
              </w:rPr>
            </w:pPr>
            <w:r>
              <w:rPr>
                <w:rFonts w:hint="eastAsia"/>
                <w:color w:val="auto"/>
                <w:lang w:val="en-US" w:eastAsia="zh-CN"/>
              </w:rPr>
              <w:t>1.55</w:t>
            </w:r>
          </w:p>
        </w:tc>
        <w:tc>
          <w:tcPr>
            <w:tcW w:w="555" w:type="pct"/>
            <w:shd w:val="clear" w:color="auto" w:fill="auto"/>
            <w:vAlign w:val="center"/>
          </w:tcPr>
          <w:p w14:paraId="39BF373F">
            <w:pPr>
              <w:pStyle w:val="45"/>
              <w:bidi w:val="0"/>
              <w:rPr>
                <w:rFonts w:hint="default"/>
                <w:color w:val="auto"/>
                <w:lang w:val="en-US" w:eastAsia="zh-CN"/>
              </w:rPr>
            </w:pPr>
            <w:r>
              <w:rPr>
                <w:rFonts w:hint="eastAsia"/>
                <w:color w:val="auto"/>
                <w:lang w:val="en-US" w:eastAsia="zh-CN"/>
              </w:rPr>
              <w:t>2.08</w:t>
            </w:r>
          </w:p>
        </w:tc>
        <w:tc>
          <w:tcPr>
            <w:tcW w:w="555" w:type="pct"/>
            <w:shd w:val="clear" w:color="auto" w:fill="auto"/>
            <w:vAlign w:val="center"/>
          </w:tcPr>
          <w:p w14:paraId="02C889CE">
            <w:pPr>
              <w:pStyle w:val="45"/>
              <w:bidi w:val="0"/>
              <w:rPr>
                <w:rFonts w:hint="default"/>
                <w:color w:val="auto"/>
                <w:lang w:val="en-US" w:eastAsia="zh-CN"/>
              </w:rPr>
            </w:pPr>
            <w:r>
              <w:rPr>
                <w:rFonts w:hint="eastAsia"/>
                <w:color w:val="auto"/>
                <w:lang w:val="en-US" w:eastAsia="zh-CN"/>
              </w:rPr>
              <w:t>1.71</w:t>
            </w:r>
          </w:p>
        </w:tc>
        <w:tc>
          <w:tcPr>
            <w:tcW w:w="556" w:type="pct"/>
            <w:shd w:val="clear" w:color="auto" w:fill="auto"/>
            <w:vAlign w:val="center"/>
          </w:tcPr>
          <w:p w14:paraId="44377129">
            <w:pPr>
              <w:pStyle w:val="45"/>
              <w:bidi w:val="0"/>
              <w:rPr>
                <w:rFonts w:hint="default"/>
                <w:color w:val="auto"/>
                <w:lang w:val="en-US" w:eastAsia="zh-CN"/>
              </w:rPr>
            </w:pPr>
            <w:r>
              <w:rPr>
                <w:rFonts w:hint="eastAsia"/>
                <w:color w:val="auto"/>
                <w:lang w:val="en-US" w:eastAsia="zh-CN"/>
              </w:rPr>
              <w:t>1.74</w:t>
            </w:r>
          </w:p>
        </w:tc>
        <w:tc>
          <w:tcPr>
            <w:tcW w:w="506" w:type="pct"/>
            <w:vMerge w:val="continue"/>
            <w:vAlign w:val="center"/>
          </w:tcPr>
          <w:p w14:paraId="22AD20C9">
            <w:pPr>
              <w:pStyle w:val="45"/>
              <w:bidi w:val="0"/>
              <w:rPr>
                <w:rFonts w:hint="default"/>
                <w:color w:val="auto"/>
              </w:rPr>
            </w:pPr>
          </w:p>
        </w:tc>
      </w:tr>
      <w:tr w14:paraId="0555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082D44A1">
            <w:pPr>
              <w:pStyle w:val="45"/>
              <w:bidi w:val="0"/>
              <w:rPr>
                <w:rFonts w:hint="default"/>
                <w:color w:val="auto"/>
              </w:rPr>
            </w:pPr>
          </w:p>
        </w:tc>
        <w:tc>
          <w:tcPr>
            <w:tcW w:w="641" w:type="pct"/>
            <w:vMerge w:val="continue"/>
            <w:vAlign w:val="center"/>
          </w:tcPr>
          <w:p w14:paraId="58FF14D2">
            <w:pPr>
              <w:pStyle w:val="45"/>
              <w:bidi w:val="0"/>
              <w:rPr>
                <w:rFonts w:hint="default"/>
                <w:color w:val="auto"/>
              </w:rPr>
            </w:pPr>
          </w:p>
        </w:tc>
        <w:tc>
          <w:tcPr>
            <w:tcW w:w="569" w:type="pct"/>
            <w:shd w:val="clear" w:color="auto" w:fill="auto"/>
            <w:vAlign w:val="center"/>
          </w:tcPr>
          <w:p w14:paraId="2C429ED5">
            <w:pPr>
              <w:pStyle w:val="45"/>
              <w:bidi w:val="0"/>
              <w:rPr>
                <w:rFonts w:hint="default"/>
                <w:color w:val="auto"/>
                <w:lang w:val="en-US" w:eastAsia="zh-CN"/>
              </w:rPr>
            </w:pPr>
            <w:r>
              <w:rPr>
                <w:rFonts w:hint="eastAsia"/>
                <w:color w:val="auto"/>
                <w:lang w:val="en-US" w:eastAsia="zh-CN"/>
              </w:rPr>
              <w:t>2</w:t>
            </w:r>
          </w:p>
        </w:tc>
        <w:tc>
          <w:tcPr>
            <w:tcW w:w="555" w:type="pct"/>
            <w:shd w:val="clear" w:color="auto" w:fill="auto"/>
            <w:vAlign w:val="center"/>
          </w:tcPr>
          <w:p w14:paraId="1ABF23CF">
            <w:pPr>
              <w:pStyle w:val="45"/>
              <w:bidi w:val="0"/>
              <w:rPr>
                <w:rFonts w:hint="default"/>
                <w:color w:val="auto"/>
                <w:lang w:val="en-US" w:eastAsia="zh-CN"/>
              </w:rPr>
            </w:pPr>
            <w:r>
              <w:rPr>
                <w:rFonts w:hint="eastAsia"/>
                <w:color w:val="auto"/>
                <w:lang w:val="en-US" w:eastAsia="zh-CN"/>
              </w:rPr>
              <w:t>1.79</w:t>
            </w:r>
          </w:p>
        </w:tc>
        <w:tc>
          <w:tcPr>
            <w:tcW w:w="555" w:type="pct"/>
            <w:shd w:val="clear" w:color="auto" w:fill="auto"/>
            <w:vAlign w:val="center"/>
          </w:tcPr>
          <w:p w14:paraId="43400091">
            <w:pPr>
              <w:pStyle w:val="45"/>
              <w:bidi w:val="0"/>
              <w:rPr>
                <w:rFonts w:hint="default"/>
                <w:color w:val="auto"/>
                <w:lang w:val="en-US" w:eastAsia="zh-CN"/>
              </w:rPr>
            </w:pPr>
            <w:r>
              <w:rPr>
                <w:rFonts w:hint="eastAsia"/>
                <w:color w:val="auto"/>
                <w:lang w:val="en-US" w:eastAsia="zh-CN"/>
              </w:rPr>
              <w:t>2.23</w:t>
            </w:r>
          </w:p>
        </w:tc>
        <w:tc>
          <w:tcPr>
            <w:tcW w:w="555" w:type="pct"/>
            <w:shd w:val="clear" w:color="auto" w:fill="auto"/>
            <w:vAlign w:val="center"/>
          </w:tcPr>
          <w:p w14:paraId="46C1EC8F">
            <w:pPr>
              <w:pStyle w:val="45"/>
              <w:bidi w:val="0"/>
              <w:rPr>
                <w:rFonts w:hint="default"/>
                <w:color w:val="auto"/>
                <w:lang w:val="en-US" w:eastAsia="zh-CN"/>
              </w:rPr>
            </w:pPr>
            <w:r>
              <w:rPr>
                <w:rFonts w:hint="eastAsia"/>
                <w:color w:val="auto"/>
                <w:lang w:val="en-US" w:eastAsia="zh-CN"/>
              </w:rPr>
              <w:t>1.72</w:t>
            </w:r>
          </w:p>
        </w:tc>
        <w:tc>
          <w:tcPr>
            <w:tcW w:w="556" w:type="pct"/>
            <w:shd w:val="clear" w:color="auto" w:fill="auto"/>
            <w:vAlign w:val="center"/>
          </w:tcPr>
          <w:p w14:paraId="166C9DBB">
            <w:pPr>
              <w:pStyle w:val="45"/>
              <w:bidi w:val="0"/>
              <w:rPr>
                <w:rFonts w:hint="default"/>
                <w:color w:val="auto"/>
                <w:lang w:val="en-US" w:eastAsia="zh-CN"/>
              </w:rPr>
            </w:pPr>
            <w:r>
              <w:rPr>
                <w:rFonts w:hint="eastAsia"/>
                <w:color w:val="auto"/>
                <w:lang w:val="en-US" w:eastAsia="zh-CN"/>
              </w:rPr>
              <w:t>1.72</w:t>
            </w:r>
          </w:p>
        </w:tc>
        <w:tc>
          <w:tcPr>
            <w:tcW w:w="506" w:type="pct"/>
            <w:vMerge w:val="continue"/>
            <w:vAlign w:val="center"/>
          </w:tcPr>
          <w:p w14:paraId="29D4B6AE">
            <w:pPr>
              <w:pStyle w:val="45"/>
              <w:bidi w:val="0"/>
              <w:rPr>
                <w:rFonts w:hint="default"/>
                <w:color w:val="auto"/>
              </w:rPr>
            </w:pPr>
          </w:p>
        </w:tc>
      </w:tr>
      <w:tr w14:paraId="44DD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283DD043">
            <w:pPr>
              <w:pStyle w:val="45"/>
              <w:bidi w:val="0"/>
              <w:rPr>
                <w:rFonts w:hint="default"/>
                <w:color w:val="auto"/>
              </w:rPr>
            </w:pPr>
          </w:p>
        </w:tc>
        <w:tc>
          <w:tcPr>
            <w:tcW w:w="641" w:type="pct"/>
            <w:vMerge w:val="continue"/>
            <w:vAlign w:val="center"/>
          </w:tcPr>
          <w:p w14:paraId="4876CAF2">
            <w:pPr>
              <w:pStyle w:val="45"/>
              <w:bidi w:val="0"/>
              <w:rPr>
                <w:rFonts w:hint="default"/>
                <w:color w:val="auto"/>
              </w:rPr>
            </w:pPr>
          </w:p>
        </w:tc>
        <w:tc>
          <w:tcPr>
            <w:tcW w:w="569" w:type="pct"/>
            <w:shd w:val="clear" w:color="auto" w:fill="auto"/>
            <w:vAlign w:val="center"/>
          </w:tcPr>
          <w:p w14:paraId="036CDC10">
            <w:pPr>
              <w:pStyle w:val="45"/>
              <w:bidi w:val="0"/>
              <w:rPr>
                <w:rFonts w:hint="default"/>
                <w:color w:val="auto"/>
                <w:lang w:val="en-US" w:eastAsia="zh-CN"/>
              </w:rPr>
            </w:pPr>
            <w:r>
              <w:rPr>
                <w:rFonts w:hint="eastAsia"/>
                <w:color w:val="auto"/>
                <w:lang w:val="en-US" w:eastAsia="zh-CN"/>
              </w:rPr>
              <w:t>4</w:t>
            </w:r>
          </w:p>
        </w:tc>
        <w:tc>
          <w:tcPr>
            <w:tcW w:w="555" w:type="pct"/>
            <w:shd w:val="clear" w:color="auto" w:fill="auto"/>
            <w:vAlign w:val="center"/>
          </w:tcPr>
          <w:p w14:paraId="06A0A855">
            <w:pPr>
              <w:pStyle w:val="45"/>
              <w:bidi w:val="0"/>
              <w:rPr>
                <w:rFonts w:hint="default"/>
                <w:color w:val="auto"/>
                <w:lang w:val="en-US" w:eastAsia="zh-CN"/>
              </w:rPr>
            </w:pPr>
            <w:r>
              <w:rPr>
                <w:rFonts w:hint="eastAsia"/>
                <w:color w:val="auto"/>
                <w:lang w:val="en-US" w:eastAsia="zh-CN"/>
              </w:rPr>
              <w:t>1.92</w:t>
            </w:r>
          </w:p>
        </w:tc>
        <w:tc>
          <w:tcPr>
            <w:tcW w:w="555" w:type="pct"/>
            <w:shd w:val="clear" w:color="auto" w:fill="auto"/>
            <w:vAlign w:val="center"/>
          </w:tcPr>
          <w:p w14:paraId="07540768">
            <w:pPr>
              <w:pStyle w:val="45"/>
              <w:bidi w:val="0"/>
              <w:rPr>
                <w:rFonts w:hint="default"/>
                <w:color w:val="auto"/>
                <w:lang w:val="en-US" w:eastAsia="zh-CN"/>
              </w:rPr>
            </w:pPr>
            <w:r>
              <w:rPr>
                <w:rFonts w:hint="eastAsia"/>
                <w:color w:val="auto"/>
                <w:lang w:val="en-US" w:eastAsia="zh-CN"/>
              </w:rPr>
              <w:t>2.16</w:t>
            </w:r>
          </w:p>
        </w:tc>
        <w:tc>
          <w:tcPr>
            <w:tcW w:w="555" w:type="pct"/>
            <w:shd w:val="clear" w:color="auto" w:fill="auto"/>
            <w:vAlign w:val="center"/>
          </w:tcPr>
          <w:p w14:paraId="1EFAC006">
            <w:pPr>
              <w:pStyle w:val="45"/>
              <w:bidi w:val="0"/>
              <w:rPr>
                <w:rFonts w:hint="default"/>
                <w:color w:val="auto"/>
                <w:lang w:val="en-US" w:eastAsia="zh-CN"/>
              </w:rPr>
            </w:pPr>
            <w:r>
              <w:rPr>
                <w:rFonts w:hint="eastAsia"/>
                <w:color w:val="auto"/>
                <w:lang w:val="en-US" w:eastAsia="zh-CN"/>
              </w:rPr>
              <w:t>1.74</w:t>
            </w:r>
          </w:p>
        </w:tc>
        <w:tc>
          <w:tcPr>
            <w:tcW w:w="556" w:type="pct"/>
            <w:shd w:val="clear" w:color="auto" w:fill="auto"/>
            <w:vAlign w:val="center"/>
          </w:tcPr>
          <w:p w14:paraId="4767D6D8">
            <w:pPr>
              <w:pStyle w:val="45"/>
              <w:bidi w:val="0"/>
              <w:rPr>
                <w:rFonts w:hint="default"/>
                <w:color w:val="auto"/>
                <w:lang w:val="en-US" w:eastAsia="zh-CN"/>
              </w:rPr>
            </w:pPr>
            <w:r>
              <w:rPr>
                <w:rFonts w:hint="eastAsia"/>
                <w:color w:val="auto"/>
                <w:lang w:val="en-US" w:eastAsia="zh-CN"/>
              </w:rPr>
              <w:t>1.68</w:t>
            </w:r>
          </w:p>
        </w:tc>
        <w:tc>
          <w:tcPr>
            <w:tcW w:w="506" w:type="pct"/>
            <w:vMerge w:val="continue"/>
            <w:vAlign w:val="center"/>
          </w:tcPr>
          <w:p w14:paraId="2DDCD016">
            <w:pPr>
              <w:pStyle w:val="45"/>
              <w:bidi w:val="0"/>
              <w:rPr>
                <w:rFonts w:hint="default"/>
                <w:color w:val="auto"/>
              </w:rPr>
            </w:pPr>
          </w:p>
        </w:tc>
      </w:tr>
      <w:tr w14:paraId="4648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shd w:val="clear" w:color="auto" w:fill="auto"/>
            <w:vAlign w:val="center"/>
          </w:tcPr>
          <w:p w14:paraId="0A0291C1">
            <w:pPr>
              <w:pStyle w:val="45"/>
              <w:bidi w:val="0"/>
              <w:rPr>
                <w:rFonts w:hint="default"/>
                <w:color w:val="auto"/>
                <w:lang w:val="en-US" w:eastAsia="zh-CN"/>
              </w:rPr>
            </w:pPr>
            <w:r>
              <w:rPr>
                <w:rFonts w:hint="default"/>
                <w:color w:val="auto"/>
                <w:lang w:val="en-US" w:eastAsia="zh-CN"/>
              </w:rPr>
              <w:t>臭气浓度</w:t>
            </w:r>
          </w:p>
          <w:p w14:paraId="4394CF0D">
            <w:pPr>
              <w:pStyle w:val="45"/>
              <w:bidi w:val="0"/>
              <w:rPr>
                <w:rFonts w:hint="default"/>
                <w:color w:val="auto"/>
                <w:lang w:val="en-US" w:eastAsia="zh-CN"/>
              </w:rPr>
            </w:pPr>
            <w:r>
              <w:rPr>
                <w:rFonts w:hint="default"/>
                <w:color w:val="auto"/>
                <w:lang w:val="en-US" w:eastAsia="zh-CN"/>
              </w:rPr>
              <w:t>(无量纲)</w:t>
            </w:r>
          </w:p>
        </w:tc>
        <w:tc>
          <w:tcPr>
            <w:tcW w:w="641" w:type="pct"/>
            <w:vMerge w:val="restart"/>
            <w:shd w:val="clear" w:color="auto" w:fill="auto"/>
            <w:vAlign w:val="center"/>
          </w:tcPr>
          <w:p w14:paraId="7E0CED21">
            <w:pPr>
              <w:pStyle w:val="45"/>
              <w:bidi w:val="0"/>
              <w:rPr>
                <w:rFonts w:hint="default"/>
                <w:color w:val="auto"/>
                <w:lang w:val="en-US" w:eastAsia="zh-CN"/>
              </w:rPr>
            </w:pPr>
            <w:r>
              <w:rPr>
                <w:rFonts w:hint="eastAsia"/>
                <w:color w:val="auto"/>
                <w:lang w:val="en-US" w:eastAsia="zh-CN"/>
              </w:rPr>
              <w:t>2024.11.22</w:t>
            </w:r>
          </w:p>
        </w:tc>
        <w:tc>
          <w:tcPr>
            <w:tcW w:w="569" w:type="pct"/>
            <w:shd w:val="clear" w:color="auto" w:fill="auto"/>
            <w:vAlign w:val="center"/>
          </w:tcPr>
          <w:p w14:paraId="4594A17E">
            <w:pPr>
              <w:pStyle w:val="45"/>
              <w:bidi w:val="0"/>
              <w:rPr>
                <w:rFonts w:hint="default"/>
                <w:color w:val="auto"/>
                <w:lang w:val="en-US" w:eastAsia="zh-CN"/>
              </w:rPr>
            </w:pPr>
            <w:r>
              <w:rPr>
                <w:rFonts w:hint="eastAsia"/>
                <w:color w:val="auto"/>
                <w:lang w:val="en-US" w:eastAsia="zh-CN"/>
              </w:rPr>
              <w:t>1</w:t>
            </w:r>
          </w:p>
        </w:tc>
        <w:tc>
          <w:tcPr>
            <w:tcW w:w="555" w:type="pct"/>
            <w:shd w:val="clear" w:color="auto" w:fill="auto"/>
            <w:vAlign w:val="center"/>
          </w:tcPr>
          <w:p w14:paraId="423AA9BD">
            <w:pPr>
              <w:pStyle w:val="45"/>
              <w:bidi w:val="0"/>
              <w:rPr>
                <w:rFonts w:hint="default"/>
                <w:color w:val="auto"/>
                <w:lang w:val="en-US" w:eastAsia="zh-CN"/>
              </w:rPr>
            </w:pPr>
            <w:r>
              <w:rPr>
                <w:rFonts w:hint="eastAsia"/>
                <w:color w:val="auto"/>
                <w:lang w:val="en-US" w:eastAsia="zh-CN"/>
              </w:rPr>
              <w:t>＜10</w:t>
            </w:r>
          </w:p>
        </w:tc>
        <w:tc>
          <w:tcPr>
            <w:tcW w:w="555" w:type="pct"/>
            <w:shd w:val="clear" w:color="auto" w:fill="auto"/>
            <w:vAlign w:val="center"/>
          </w:tcPr>
          <w:p w14:paraId="18FC4A60">
            <w:pPr>
              <w:pStyle w:val="45"/>
              <w:bidi w:val="0"/>
              <w:rPr>
                <w:rFonts w:hint="default"/>
                <w:color w:val="auto"/>
                <w:lang w:val="en-US" w:eastAsia="zh-CN"/>
              </w:rPr>
            </w:pPr>
            <w:r>
              <w:rPr>
                <w:rFonts w:hint="eastAsia"/>
                <w:color w:val="auto"/>
                <w:lang w:val="en-US" w:eastAsia="zh-CN"/>
              </w:rPr>
              <w:t>18</w:t>
            </w:r>
          </w:p>
        </w:tc>
        <w:tc>
          <w:tcPr>
            <w:tcW w:w="555" w:type="pct"/>
            <w:shd w:val="clear" w:color="auto" w:fill="auto"/>
            <w:vAlign w:val="center"/>
          </w:tcPr>
          <w:p w14:paraId="6D9E57CE">
            <w:pPr>
              <w:pStyle w:val="45"/>
              <w:bidi w:val="0"/>
              <w:rPr>
                <w:rFonts w:hint="default"/>
                <w:color w:val="auto"/>
                <w:lang w:val="en-US" w:eastAsia="zh-CN"/>
              </w:rPr>
            </w:pPr>
            <w:r>
              <w:rPr>
                <w:rFonts w:hint="eastAsia"/>
                <w:color w:val="auto"/>
                <w:lang w:val="en-US" w:eastAsia="zh-CN"/>
              </w:rPr>
              <w:t>＜10</w:t>
            </w:r>
          </w:p>
        </w:tc>
        <w:tc>
          <w:tcPr>
            <w:tcW w:w="556" w:type="pct"/>
            <w:shd w:val="clear" w:color="auto" w:fill="auto"/>
            <w:vAlign w:val="center"/>
          </w:tcPr>
          <w:p w14:paraId="7759D127">
            <w:pPr>
              <w:pStyle w:val="45"/>
              <w:bidi w:val="0"/>
              <w:rPr>
                <w:rFonts w:hint="default"/>
                <w:color w:val="auto"/>
                <w:lang w:val="en-US" w:eastAsia="zh-CN"/>
              </w:rPr>
            </w:pPr>
            <w:r>
              <w:rPr>
                <w:rFonts w:hint="eastAsia"/>
                <w:color w:val="auto"/>
                <w:lang w:val="en-US" w:eastAsia="zh-CN"/>
              </w:rPr>
              <w:t>16</w:t>
            </w:r>
          </w:p>
        </w:tc>
        <w:tc>
          <w:tcPr>
            <w:tcW w:w="506" w:type="pct"/>
            <w:vMerge w:val="restart"/>
            <w:vAlign w:val="center"/>
          </w:tcPr>
          <w:p w14:paraId="28A26F0A">
            <w:pPr>
              <w:pStyle w:val="45"/>
              <w:bidi w:val="0"/>
              <w:rPr>
                <w:rFonts w:hint="default"/>
                <w:color w:val="auto"/>
                <w:lang w:val="en-US" w:eastAsia="zh-CN"/>
              </w:rPr>
            </w:pPr>
            <w:r>
              <w:rPr>
                <w:rFonts w:hint="eastAsia"/>
                <w:color w:val="auto"/>
                <w:lang w:val="en-US" w:eastAsia="zh-CN"/>
              </w:rPr>
              <w:t>20</w:t>
            </w:r>
          </w:p>
        </w:tc>
      </w:tr>
      <w:tr w14:paraId="0AF9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3AC5ED9B">
            <w:pPr>
              <w:pStyle w:val="45"/>
              <w:bidi w:val="0"/>
              <w:rPr>
                <w:rFonts w:hint="default"/>
                <w:color w:val="auto"/>
              </w:rPr>
            </w:pPr>
          </w:p>
        </w:tc>
        <w:tc>
          <w:tcPr>
            <w:tcW w:w="641" w:type="pct"/>
            <w:vMerge w:val="continue"/>
            <w:vAlign w:val="center"/>
          </w:tcPr>
          <w:p w14:paraId="1F673721">
            <w:pPr>
              <w:pStyle w:val="45"/>
              <w:bidi w:val="0"/>
              <w:rPr>
                <w:rFonts w:hint="default"/>
                <w:color w:val="auto"/>
              </w:rPr>
            </w:pPr>
          </w:p>
        </w:tc>
        <w:tc>
          <w:tcPr>
            <w:tcW w:w="569" w:type="pct"/>
            <w:shd w:val="clear" w:color="auto" w:fill="auto"/>
            <w:vAlign w:val="center"/>
          </w:tcPr>
          <w:p w14:paraId="0AC0DA97">
            <w:pPr>
              <w:pStyle w:val="45"/>
              <w:bidi w:val="0"/>
              <w:rPr>
                <w:rFonts w:hint="default"/>
                <w:color w:val="auto"/>
                <w:lang w:val="en-US" w:eastAsia="zh-CN"/>
              </w:rPr>
            </w:pPr>
            <w:r>
              <w:rPr>
                <w:rFonts w:hint="eastAsia"/>
                <w:color w:val="auto"/>
                <w:lang w:val="en-US" w:eastAsia="zh-CN"/>
              </w:rPr>
              <w:t>2</w:t>
            </w:r>
          </w:p>
        </w:tc>
        <w:tc>
          <w:tcPr>
            <w:tcW w:w="555" w:type="pct"/>
            <w:shd w:val="clear" w:color="auto" w:fill="auto"/>
            <w:vAlign w:val="center"/>
          </w:tcPr>
          <w:p w14:paraId="706686FF">
            <w:pPr>
              <w:pStyle w:val="45"/>
              <w:bidi w:val="0"/>
              <w:rPr>
                <w:rFonts w:hint="default"/>
                <w:color w:val="auto"/>
                <w:lang w:val="en-US" w:eastAsia="zh-CN"/>
              </w:rPr>
            </w:pPr>
            <w:r>
              <w:rPr>
                <w:rFonts w:hint="eastAsia"/>
                <w:color w:val="auto"/>
                <w:lang w:val="en-US" w:eastAsia="zh-CN"/>
              </w:rPr>
              <w:t>16</w:t>
            </w:r>
          </w:p>
        </w:tc>
        <w:tc>
          <w:tcPr>
            <w:tcW w:w="555" w:type="pct"/>
            <w:shd w:val="clear" w:color="auto" w:fill="auto"/>
            <w:vAlign w:val="center"/>
          </w:tcPr>
          <w:p w14:paraId="769496F6">
            <w:pPr>
              <w:pStyle w:val="45"/>
              <w:bidi w:val="0"/>
              <w:rPr>
                <w:rFonts w:hint="default"/>
                <w:color w:val="auto"/>
                <w:lang w:val="en-US" w:eastAsia="zh-CN"/>
              </w:rPr>
            </w:pPr>
            <w:r>
              <w:rPr>
                <w:rFonts w:hint="eastAsia"/>
                <w:color w:val="auto"/>
                <w:lang w:val="en-US" w:eastAsia="zh-CN"/>
              </w:rPr>
              <w:t>＜10</w:t>
            </w:r>
          </w:p>
        </w:tc>
        <w:tc>
          <w:tcPr>
            <w:tcW w:w="555" w:type="pct"/>
            <w:shd w:val="clear" w:color="auto" w:fill="auto"/>
            <w:vAlign w:val="center"/>
          </w:tcPr>
          <w:p w14:paraId="07BF5145">
            <w:pPr>
              <w:pStyle w:val="45"/>
              <w:bidi w:val="0"/>
              <w:rPr>
                <w:rFonts w:hint="default"/>
                <w:color w:val="auto"/>
                <w:lang w:val="en-US" w:eastAsia="zh-CN"/>
              </w:rPr>
            </w:pPr>
            <w:r>
              <w:rPr>
                <w:rFonts w:hint="eastAsia"/>
                <w:color w:val="auto"/>
                <w:lang w:val="en-US" w:eastAsia="zh-CN"/>
              </w:rPr>
              <w:t>17</w:t>
            </w:r>
          </w:p>
        </w:tc>
        <w:tc>
          <w:tcPr>
            <w:tcW w:w="556" w:type="pct"/>
            <w:shd w:val="clear" w:color="auto" w:fill="auto"/>
            <w:vAlign w:val="center"/>
          </w:tcPr>
          <w:p w14:paraId="44B97AD1">
            <w:pPr>
              <w:pStyle w:val="45"/>
              <w:bidi w:val="0"/>
              <w:rPr>
                <w:rFonts w:hint="default"/>
                <w:color w:val="auto"/>
                <w:lang w:val="en-US" w:eastAsia="zh-CN"/>
              </w:rPr>
            </w:pPr>
            <w:r>
              <w:rPr>
                <w:rFonts w:hint="eastAsia"/>
                <w:color w:val="auto"/>
                <w:lang w:val="en-US" w:eastAsia="zh-CN"/>
              </w:rPr>
              <w:t>14</w:t>
            </w:r>
          </w:p>
        </w:tc>
        <w:tc>
          <w:tcPr>
            <w:tcW w:w="506" w:type="pct"/>
            <w:vMerge w:val="continue"/>
            <w:vAlign w:val="center"/>
          </w:tcPr>
          <w:p w14:paraId="25885D3E">
            <w:pPr>
              <w:pStyle w:val="45"/>
              <w:bidi w:val="0"/>
              <w:rPr>
                <w:rFonts w:hint="default"/>
                <w:color w:val="auto"/>
              </w:rPr>
            </w:pPr>
          </w:p>
        </w:tc>
      </w:tr>
      <w:tr w14:paraId="166C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6C3E0AAA">
            <w:pPr>
              <w:pStyle w:val="45"/>
              <w:bidi w:val="0"/>
              <w:rPr>
                <w:rFonts w:hint="default"/>
                <w:color w:val="auto"/>
              </w:rPr>
            </w:pPr>
          </w:p>
        </w:tc>
        <w:tc>
          <w:tcPr>
            <w:tcW w:w="641" w:type="pct"/>
            <w:vMerge w:val="continue"/>
            <w:vAlign w:val="center"/>
          </w:tcPr>
          <w:p w14:paraId="538D8707">
            <w:pPr>
              <w:pStyle w:val="45"/>
              <w:bidi w:val="0"/>
              <w:rPr>
                <w:rFonts w:hint="default"/>
                <w:color w:val="auto"/>
              </w:rPr>
            </w:pPr>
          </w:p>
        </w:tc>
        <w:tc>
          <w:tcPr>
            <w:tcW w:w="569" w:type="pct"/>
            <w:shd w:val="clear" w:color="auto" w:fill="auto"/>
            <w:vAlign w:val="center"/>
          </w:tcPr>
          <w:p w14:paraId="1BCC31AD">
            <w:pPr>
              <w:pStyle w:val="45"/>
              <w:bidi w:val="0"/>
              <w:rPr>
                <w:rFonts w:hint="default"/>
                <w:color w:val="auto"/>
                <w:lang w:val="en-US" w:eastAsia="zh-CN"/>
              </w:rPr>
            </w:pPr>
            <w:r>
              <w:rPr>
                <w:rFonts w:hint="eastAsia"/>
                <w:color w:val="auto"/>
                <w:lang w:val="en-US" w:eastAsia="zh-CN"/>
              </w:rPr>
              <w:t>3</w:t>
            </w:r>
          </w:p>
        </w:tc>
        <w:tc>
          <w:tcPr>
            <w:tcW w:w="555" w:type="pct"/>
            <w:shd w:val="clear" w:color="auto" w:fill="auto"/>
            <w:vAlign w:val="center"/>
          </w:tcPr>
          <w:p w14:paraId="650384FA">
            <w:pPr>
              <w:pStyle w:val="45"/>
              <w:bidi w:val="0"/>
              <w:rPr>
                <w:rFonts w:hint="default"/>
                <w:color w:val="auto"/>
                <w:lang w:val="en-US" w:eastAsia="zh-CN"/>
              </w:rPr>
            </w:pPr>
            <w:r>
              <w:rPr>
                <w:rFonts w:hint="eastAsia"/>
                <w:color w:val="auto"/>
                <w:lang w:val="en-US" w:eastAsia="zh-CN"/>
              </w:rPr>
              <w:t>＜10</w:t>
            </w:r>
          </w:p>
        </w:tc>
        <w:tc>
          <w:tcPr>
            <w:tcW w:w="555" w:type="pct"/>
            <w:shd w:val="clear" w:color="auto" w:fill="auto"/>
            <w:vAlign w:val="center"/>
          </w:tcPr>
          <w:p w14:paraId="7CF8F0FC">
            <w:pPr>
              <w:pStyle w:val="45"/>
              <w:bidi w:val="0"/>
              <w:rPr>
                <w:rFonts w:hint="default"/>
                <w:color w:val="auto"/>
                <w:lang w:val="en-US" w:eastAsia="zh-CN"/>
              </w:rPr>
            </w:pPr>
            <w:r>
              <w:rPr>
                <w:rFonts w:hint="eastAsia"/>
                <w:color w:val="auto"/>
                <w:lang w:val="en-US" w:eastAsia="zh-CN"/>
              </w:rPr>
              <w:t>＜10</w:t>
            </w:r>
          </w:p>
        </w:tc>
        <w:tc>
          <w:tcPr>
            <w:tcW w:w="555" w:type="pct"/>
            <w:shd w:val="clear" w:color="auto" w:fill="auto"/>
            <w:vAlign w:val="center"/>
          </w:tcPr>
          <w:p w14:paraId="452BC9B9">
            <w:pPr>
              <w:pStyle w:val="45"/>
              <w:bidi w:val="0"/>
              <w:rPr>
                <w:rFonts w:hint="default"/>
                <w:color w:val="auto"/>
                <w:lang w:val="en-US" w:eastAsia="zh-CN"/>
              </w:rPr>
            </w:pPr>
            <w:r>
              <w:rPr>
                <w:rFonts w:hint="eastAsia"/>
                <w:color w:val="auto"/>
                <w:lang w:val="en-US" w:eastAsia="zh-CN"/>
              </w:rPr>
              <w:t>＜10</w:t>
            </w:r>
          </w:p>
        </w:tc>
        <w:tc>
          <w:tcPr>
            <w:tcW w:w="556" w:type="pct"/>
            <w:shd w:val="clear" w:color="auto" w:fill="auto"/>
            <w:vAlign w:val="center"/>
          </w:tcPr>
          <w:p w14:paraId="3F2AED81">
            <w:pPr>
              <w:pStyle w:val="45"/>
              <w:bidi w:val="0"/>
              <w:rPr>
                <w:rFonts w:hint="default"/>
                <w:color w:val="auto"/>
                <w:lang w:val="en-US" w:eastAsia="zh-CN"/>
              </w:rPr>
            </w:pPr>
            <w:r>
              <w:rPr>
                <w:rFonts w:hint="eastAsia"/>
                <w:color w:val="auto"/>
                <w:lang w:val="en-US" w:eastAsia="zh-CN"/>
              </w:rPr>
              <w:t>16</w:t>
            </w:r>
          </w:p>
        </w:tc>
        <w:tc>
          <w:tcPr>
            <w:tcW w:w="506" w:type="pct"/>
            <w:vMerge w:val="continue"/>
            <w:vAlign w:val="center"/>
          </w:tcPr>
          <w:p w14:paraId="269682DA">
            <w:pPr>
              <w:pStyle w:val="45"/>
              <w:bidi w:val="0"/>
              <w:rPr>
                <w:rFonts w:hint="default"/>
                <w:color w:val="auto"/>
              </w:rPr>
            </w:pPr>
          </w:p>
        </w:tc>
      </w:tr>
      <w:tr w14:paraId="3EA1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623B5798">
            <w:pPr>
              <w:pStyle w:val="45"/>
              <w:bidi w:val="0"/>
              <w:rPr>
                <w:rFonts w:hint="default"/>
                <w:color w:val="auto"/>
              </w:rPr>
            </w:pPr>
          </w:p>
        </w:tc>
        <w:tc>
          <w:tcPr>
            <w:tcW w:w="641" w:type="pct"/>
            <w:vMerge w:val="continue"/>
            <w:vAlign w:val="center"/>
          </w:tcPr>
          <w:p w14:paraId="3EED4410">
            <w:pPr>
              <w:pStyle w:val="45"/>
              <w:bidi w:val="0"/>
              <w:rPr>
                <w:rFonts w:hint="default"/>
                <w:color w:val="auto"/>
              </w:rPr>
            </w:pPr>
          </w:p>
        </w:tc>
        <w:tc>
          <w:tcPr>
            <w:tcW w:w="569" w:type="pct"/>
            <w:shd w:val="clear" w:color="auto" w:fill="auto"/>
            <w:vAlign w:val="center"/>
          </w:tcPr>
          <w:p w14:paraId="1C674909">
            <w:pPr>
              <w:pStyle w:val="45"/>
              <w:bidi w:val="0"/>
              <w:rPr>
                <w:rFonts w:hint="default"/>
                <w:color w:val="auto"/>
                <w:lang w:val="en-US" w:eastAsia="zh-CN"/>
              </w:rPr>
            </w:pPr>
            <w:r>
              <w:rPr>
                <w:rFonts w:hint="eastAsia"/>
                <w:color w:val="auto"/>
                <w:lang w:val="en-US" w:eastAsia="zh-CN"/>
              </w:rPr>
              <w:t>4</w:t>
            </w:r>
          </w:p>
        </w:tc>
        <w:tc>
          <w:tcPr>
            <w:tcW w:w="555" w:type="pct"/>
            <w:shd w:val="clear" w:color="auto" w:fill="auto"/>
            <w:vAlign w:val="center"/>
          </w:tcPr>
          <w:p w14:paraId="4F87C1AF">
            <w:pPr>
              <w:pStyle w:val="45"/>
              <w:bidi w:val="0"/>
              <w:rPr>
                <w:rFonts w:hint="default"/>
                <w:color w:val="auto"/>
                <w:lang w:val="en-US" w:eastAsia="zh-CN"/>
              </w:rPr>
            </w:pPr>
            <w:r>
              <w:rPr>
                <w:rFonts w:hint="eastAsia"/>
                <w:color w:val="auto"/>
                <w:lang w:val="en-US" w:eastAsia="zh-CN"/>
              </w:rPr>
              <w:t>＜10</w:t>
            </w:r>
          </w:p>
        </w:tc>
        <w:tc>
          <w:tcPr>
            <w:tcW w:w="555" w:type="pct"/>
            <w:shd w:val="clear" w:color="auto" w:fill="auto"/>
            <w:vAlign w:val="center"/>
          </w:tcPr>
          <w:p w14:paraId="02C1D7EB">
            <w:pPr>
              <w:pStyle w:val="45"/>
              <w:bidi w:val="0"/>
              <w:rPr>
                <w:rFonts w:hint="default"/>
                <w:color w:val="auto"/>
                <w:lang w:val="en-US" w:eastAsia="zh-CN"/>
              </w:rPr>
            </w:pPr>
            <w:r>
              <w:rPr>
                <w:rFonts w:hint="eastAsia"/>
                <w:color w:val="auto"/>
                <w:lang w:val="en-US" w:eastAsia="zh-CN"/>
              </w:rPr>
              <w:t>15</w:t>
            </w:r>
          </w:p>
        </w:tc>
        <w:tc>
          <w:tcPr>
            <w:tcW w:w="555" w:type="pct"/>
            <w:shd w:val="clear" w:color="auto" w:fill="auto"/>
            <w:vAlign w:val="center"/>
          </w:tcPr>
          <w:p w14:paraId="3DEBCEC0">
            <w:pPr>
              <w:pStyle w:val="45"/>
              <w:bidi w:val="0"/>
              <w:rPr>
                <w:rFonts w:hint="default"/>
                <w:color w:val="auto"/>
                <w:lang w:val="en-US" w:eastAsia="zh-CN"/>
              </w:rPr>
            </w:pPr>
            <w:r>
              <w:rPr>
                <w:rFonts w:hint="eastAsia"/>
                <w:color w:val="auto"/>
                <w:lang w:val="en-US" w:eastAsia="zh-CN"/>
              </w:rPr>
              <w:t>19</w:t>
            </w:r>
          </w:p>
        </w:tc>
        <w:tc>
          <w:tcPr>
            <w:tcW w:w="556" w:type="pct"/>
            <w:shd w:val="clear" w:color="auto" w:fill="auto"/>
            <w:vAlign w:val="center"/>
          </w:tcPr>
          <w:p w14:paraId="6142176B">
            <w:pPr>
              <w:pStyle w:val="45"/>
              <w:bidi w:val="0"/>
              <w:rPr>
                <w:rFonts w:hint="default"/>
                <w:color w:val="auto"/>
                <w:lang w:val="en-US" w:eastAsia="zh-CN"/>
              </w:rPr>
            </w:pPr>
            <w:r>
              <w:rPr>
                <w:rFonts w:hint="eastAsia"/>
                <w:color w:val="auto"/>
                <w:lang w:val="en-US" w:eastAsia="zh-CN"/>
              </w:rPr>
              <w:t>15</w:t>
            </w:r>
          </w:p>
        </w:tc>
        <w:tc>
          <w:tcPr>
            <w:tcW w:w="506" w:type="pct"/>
            <w:vMerge w:val="continue"/>
            <w:vAlign w:val="center"/>
          </w:tcPr>
          <w:p w14:paraId="7B03D6D7">
            <w:pPr>
              <w:pStyle w:val="45"/>
              <w:bidi w:val="0"/>
              <w:rPr>
                <w:rFonts w:hint="default"/>
                <w:color w:val="auto"/>
              </w:rPr>
            </w:pPr>
          </w:p>
        </w:tc>
      </w:tr>
      <w:tr w14:paraId="16A0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vAlign w:val="center"/>
          </w:tcPr>
          <w:p w14:paraId="55D1394C">
            <w:pPr>
              <w:pStyle w:val="45"/>
              <w:bidi w:val="0"/>
              <w:rPr>
                <w:rFonts w:hint="default"/>
                <w:color w:val="auto"/>
                <w:lang w:val="en-US" w:eastAsia="zh-CN"/>
              </w:rPr>
            </w:pPr>
            <w:r>
              <w:rPr>
                <w:rFonts w:hint="eastAsia"/>
                <w:color w:val="auto"/>
                <w:lang w:val="en-US" w:eastAsia="zh-CN"/>
              </w:rPr>
              <w:t>氯气</w:t>
            </w:r>
          </w:p>
        </w:tc>
        <w:tc>
          <w:tcPr>
            <w:tcW w:w="641" w:type="pct"/>
            <w:vMerge w:val="restart"/>
            <w:vAlign w:val="center"/>
          </w:tcPr>
          <w:p w14:paraId="71F2561F">
            <w:pPr>
              <w:pStyle w:val="45"/>
              <w:bidi w:val="0"/>
              <w:rPr>
                <w:rFonts w:hint="default"/>
                <w:color w:val="auto"/>
                <w:lang w:val="en-US" w:eastAsia="zh-CN"/>
              </w:rPr>
            </w:pPr>
            <w:r>
              <w:rPr>
                <w:rFonts w:hint="eastAsia"/>
                <w:color w:val="auto"/>
                <w:lang w:val="en-US" w:eastAsia="zh-CN"/>
              </w:rPr>
              <w:t>2024.11.22</w:t>
            </w:r>
          </w:p>
        </w:tc>
        <w:tc>
          <w:tcPr>
            <w:tcW w:w="569" w:type="pct"/>
            <w:vAlign w:val="center"/>
          </w:tcPr>
          <w:p w14:paraId="71E327DA">
            <w:pPr>
              <w:pStyle w:val="45"/>
              <w:bidi w:val="0"/>
              <w:rPr>
                <w:rFonts w:hint="eastAsia"/>
                <w:color w:val="auto"/>
                <w:lang w:val="en-US" w:eastAsia="zh-CN"/>
              </w:rPr>
            </w:pPr>
            <w:r>
              <w:rPr>
                <w:rFonts w:hint="eastAsia"/>
                <w:color w:val="auto"/>
                <w:lang w:val="en-US" w:eastAsia="zh-CN"/>
              </w:rPr>
              <w:t>1</w:t>
            </w:r>
          </w:p>
        </w:tc>
        <w:tc>
          <w:tcPr>
            <w:tcW w:w="555" w:type="pct"/>
            <w:shd w:val="clear" w:color="auto" w:fill="auto"/>
            <w:vAlign w:val="center"/>
          </w:tcPr>
          <w:p w14:paraId="1A065B8D">
            <w:pPr>
              <w:pStyle w:val="45"/>
              <w:bidi w:val="0"/>
              <w:rPr>
                <w:rFonts w:hint="default"/>
                <w:color w:val="auto"/>
                <w:lang w:val="en-US" w:eastAsia="zh-CN"/>
              </w:rPr>
            </w:pPr>
            <w:r>
              <w:rPr>
                <w:rFonts w:hint="eastAsia"/>
                <w:color w:val="auto"/>
                <w:lang w:val="en-US" w:eastAsia="zh-CN"/>
              </w:rPr>
              <w:t>ND</w:t>
            </w:r>
          </w:p>
        </w:tc>
        <w:tc>
          <w:tcPr>
            <w:tcW w:w="555" w:type="pct"/>
            <w:shd w:val="clear" w:color="auto" w:fill="auto"/>
            <w:vAlign w:val="center"/>
          </w:tcPr>
          <w:p w14:paraId="3CBA86B1">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69069379">
            <w:pPr>
              <w:pStyle w:val="45"/>
              <w:bidi w:val="0"/>
              <w:rPr>
                <w:rFonts w:hint="default"/>
                <w:color w:val="auto"/>
                <w:lang w:val="en-US" w:eastAsia="zh-CN"/>
              </w:rPr>
            </w:pPr>
            <w:r>
              <w:rPr>
                <w:rFonts w:hint="eastAsia"/>
                <w:color w:val="auto"/>
                <w:lang w:val="en-US" w:eastAsia="zh-CN"/>
              </w:rPr>
              <w:t>0.07</w:t>
            </w:r>
          </w:p>
        </w:tc>
        <w:tc>
          <w:tcPr>
            <w:tcW w:w="556" w:type="pct"/>
            <w:shd w:val="clear" w:color="auto" w:fill="auto"/>
            <w:vAlign w:val="center"/>
          </w:tcPr>
          <w:p w14:paraId="35E9FE27">
            <w:pPr>
              <w:pStyle w:val="45"/>
              <w:bidi w:val="0"/>
              <w:rPr>
                <w:rFonts w:hint="default"/>
                <w:color w:val="auto"/>
                <w:lang w:val="en-US" w:eastAsia="en-US"/>
              </w:rPr>
            </w:pPr>
            <w:r>
              <w:rPr>
                <w:rFonts w:hint="eastAsia"/>
                <w:color w:val="auto"/>
                <w:lang w:val="en-US" w:eastAsia="zh-CN"/>
              </w:rPr>
              <w:t>ND</w:t>
            </w:r>
          </w:p>
        </w:tc>
        <w:tc>
          <w:tcPr>
            <w:tcW w:w="506" w:type="pct"/>
            <w:vMerge w:val="restart"/>
            <w:vAlign w:val="center"/>
          </w:tcPr>
          <w:p w14:paraId="52CA3AA4">
            <w:pPr>
              <w:pStyle w:val="45"/>
              <w:bidi w:val="0"/>
              <w:rPr>
                <w:rFonts w:hint="default"/>
                <w:color w:val="auto"/>
                <w:lang w:val="en-US" w:eastAsia="zh-CN"/>
              </w:rPr>
            </w:pPr>
            <w:r>
              <w:rPr>
                <w:rFonts w:hint="eastAsia"/>
                <w:color w:val="auto"/>
                <w:lang w:val="en-US" w:eastAsia="zh-CN"/>
              </w:rPr>
              <w:t>0.1</w:t>
            </w:r>
          </w:p>
        </w:tc>
      </w:tr>
      <w:tr w14:paraId="61A5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43F6B36F">
            <w:pPr>
              <w:pStyle w:val="45"/>
              <w:bidi w:val="0"/>
              <w:rPr>
                <w:rFonts w:hint="default"/>
                <w:color w:val="auto"/>
              </w:rPr>
            </w:pPr>
          </w:p>
        </w:tc>
        <w:tc>
          <w:tcPr>
            <w:tcW w:w="641" w:type="pct"/>
            <w:vMerge w:val="continue"/>
            <w:vAlign w:val="center"/>
          </w:tcPr>
          <w:p w14:paraId="5C42F082">
            <w:pPr>
              <w:pStyle w:val="45"/>
              <w:bidi w:val="0"/>
              <w:rPr>
                <w:rFonts w:hint="default"/>
                <w:color w:val="auto"/>
              </w:rPr>
            </w:pPr>
          </w:p>
        </w:tc>
        <w:tc>
          <w:tcPr>
            <w:tcW w:w="569" w:type="pct"/>
            <w:vAlign w:val="center"/>
          </w:tcPr>
          <w:p w14:paraId="6DC17B46">
            <w:pPr>
              <w:pStyle w:val="45"/>
              <w:bidi w:val="0"/>
              <w:rPr>
                <w:rFonts w:hint="eastAsia"/>
                <w:color w:val="auto"/>
                <w:lang w:val="en-US" w:eastAsia="zh-CN"/>
              </w:rPr>
            </w:pPr>
            <w:r>
              <w:rPr>
                <w:rFonts w:hint="eastAsia"/>
                <w:color w:val="auto"/>
                <w:lang w:val="en-US" w:eastAsia="zh-CN"/>
              </w:rPr>
              <w:t>2</w:t>
            </w:r>
          </w:p>
        </w:tc>
        <w:tc>
          <w:tcPr>
            <w:tcW w:w="555" w:type="pct"/>
            <w:shd w:val="clear" w:color="auto" w:fill="auto"/>
            <w:vAlign w:val="center"/>
          </w:tcPr>
          <w:p w14:paraId="1678FE7F">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60CE4249">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3CA42952">
            <w:pPr>
              <w:pStyle w:val="45"/>
              <w:bidi w:val="0"/>
              <w:rPr>
                <w:rFonts w:hint="default"/>
                <w:color w:val="auto"/>
                <w:lang w:val="en-US" w:eastAsia="zh-CN"/>
              </w:rPr>
            </w:pPr>
            <w:r>
              <w:rPr>
                <w:rFonts w:hint="eastAsia"/>
                <w:color w:val="auto"/>
                <w:lang w:val="en-US" w:eastAsia="zh-CN"/>
              </w:rPr>
              <w:t>0.06</w:t>
            </w:r>
          </w:p>
        </w:tc>
        <w:tc>
          <w:tcPr>
            <w:tcW w:w="556" w:type="pct"/>
            <w:shd w:val="clear" w:color="auto" w:fill="auto"/>
            <w:vAlign w:val="center"/>
          </w:tcPr>
          <w:p w14:paraId="36A32A82">
            <w:pPr>
              <w:pStyle w:val="45"/>
              <w:bidi w:val="0"/>
              <w:rPr>
                <w:rFonts w:hint="default"/>
                <w:color w:val="auto"/>
                <w:lang w:val="en-US" w:eastAsia="en-US"/>
              </w:rPr>
            </w:pPr>
            <w:r>
              <w:rPr>
                <w:rFonts w:hint="eastAsia"/>
                <w:color w:val="auto"/>
                <w:lang w:val="en-US" w:eastAsia="zh-CN"/>
              </w:rPr>
              <w:t>ND</w:t>
            </w:r>
          </w:p>
        </w:tc>
        <w:tc>
          <w:tcPr>
            <w:tcW w:w="506" w:type="pct"/>
            <w:vMerge w:val="continue"/>
            <w:vAlign w:val="center"/>
          </w:tcPr>
          <w:p w14:paraId="737221A2">
            <w:pPr>
              <w:pStyle w:val="45"/>
              <w:bidi w:val="0"/>
              <w:rPr>
                <w:rFonts w:hint="default"/>
                <w:color w:val="auto"/>
              </w:rPr>
            </w:pPr>
          </w:p>
        </w:tc>
      </w:tr>
      <w:tr w14:paraId="32AF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523C9290">
            <w:pPr>
              <w:pStyle w:val="45"/>
              <w:bidi w:val="0"/>
              <w:rPr>
                <w:rFonts w:hint="default"/>
                <w:color w:val="auto"/>
              </w:rPr>
            </w:pPr>
          </w:p>
        </w:tc>
        <w:tc>
          <w:tcPr>
            <w:tcW w:w="641" w:type="pct"/>
            <w:vMerge w:val="continue"/>
            <w:vAlign w:val="center"/>
          </w:tcPr>
          <w:p w14:paraId="1435AD9A">
            <w:pPr>
              <w:pStyle w:val="45"/>
              <w:bidi w:val="0"/>
              <w:rPr>
                <w:rFonts w:hint="default"/>
                <w:color w:val="auto"/>
              </w:rPr>
            </w:pPr>
          </w:p>
        </w:tc>
        <w:tc>
          <w:tcPr>
            <w:tcW w:w="569" w:type="pct"/>
            <w:vAlign w:val="center"/>
          </w:tcPr>
          <w:p w14:paraId="7F3C2A98">
            <w:pPr>
              <w:pStyle w:val="45"/>
              <w:bidi w:val="0"/>
              <w:rPr>
                <w:rFonts w:hint="default"/>
                <w:color w:val="auto"/>
                <w:lang w:val="en-US" w:eastAsia="zh-CN"/>
              </w:rPr>
            </w:pPr>
            <w:r>
              <w:rPr>
                <w:rFonts w:hint="eastAsia"/>
                <w:color w:val="auto"/>
                <w:lang w:val="en-US" w:eastAsia="zh-CN"/>
              </w:rPr>
              <w:t>3</w:t>
            </w:r>
          </w:p>
        </w:tc>
        <w:tc>
          <w:tcPr>
            <w:tcW w:w="555" w:type="pct"/>
            <w:shd w:val="clear" w:color="auto" w:fill="auto"/>
            <w:vAlign w:val="center"/>
          </w:tcPr>
          <w:p w14:paraId="4535646C">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684A509F">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7C66A8BB">
            <w:pPr>
              <w:pStyle w:val="45"/>
              <w:bidi w:val="0"/>
              <w:rPr>
                <w:rFonts w:hint="default"/>
                <w:color w:val="auto"/>
                <w:lang w:val="en-US" w:eastAsia="zh-CN"/>
              </w:rPr>
            </w:pPr>
            <w:r>
              <w:rPr>
                <w:rFonts w:hint="eastAsia"/>
                <w:color w:val="auto"/>
                <w:lang w:val="en-US" w:eastAsia="zh-CN"/>
              </w:rPr>
              <w:t>0.08</w:t>
            </w:r>
          </w:p>
        </w:tc>
        <w:tc>
          <w:tcPr>
            <w:tcW w:w="556" w:type="pct"/>
            <w:shd w:val="clear" w:color="auto" w:fill="auto"/>
            <w:vAlign w:val="center"/>
          </w:tcPr>
          <w:p w14:paraId="4690284A">
            <w:pPr>
              <w:pStyle w:val="45"/>
              <w:bidi w:val="0"/>
              <w:rPr>
                <w:rFonts w:hint="default"/>
                <w:color w:val="auto"/>
                <w:lang w:val="en-US" w:eastAsia="en-US"/>
              </w:rPr>
            </w:pPr>
            <w:r>
              <w:rPr>
                <w:rFonts w:hint="eastAsia"/>
                <w:color w:val="auto"/>
                <w:lang w:val="en-US" w:eastAsia="zh-CN"/>
              </w:rPr>
              <w:t>ND</w:t>
            </w:r>
          </w:p>
        </w:tc>
        <w:tc>
          <w:tcPr>
            <w:tcW w:w="506" w:type="pct"/>
            <w:vMerge w:val="continue"/>
            <w:vAlign w:val="center"/>
          </w:tcPr>
          <w:p w14:paraId="59924066">
            <w:pPr>
              <w:pStyle w:val="45"/>
              <w:bidi w:val="0"/>
              <w:rPr>
                <w:rFonts w:hint="default"/>
                <w:color w:val="auto"/>
              </w:rPr>
            </w:pPr>
          </w:p>
        </w:tc>
      </w:tr>
      <w:tr w14:paraId="7FF2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vAlign w:val="center"/>
          </w:tcPr>
          <w:p w14:paraId="3DB7D5C4">
            <w:pPr>
              <w:pStyle w:val="45"/>
              <w:bidi w:val="0"/>
              <w:rPr>
                <w:rFonts w:hint="default"/>
                <w:color w:val="auto"/>
                <w:lang w:val="en-US" w:eastAsia="zh-CN"/>
              </w:rPr>
            </w:pPr>
            <w:r>
              <w:rPr>
                <w:rFonts w:hint="eastAsia"/>
                <w:color w:val="auto"/>
                <w:lang w:val="en-US" w:eastAsia="zh-CN"/>
              </w:rPr>
              <w:t>甲醇</w:t>
            </w:r>
          </w:p>
        </w:tc>
        <w:tc>
          <w:tcPr>
            <w:tcW w:w="641" w:type="pct"/>
            <w:vMerge w:val="restart"/>
            <w:vAlign w:val="center"/>
          </w:tcPr>
          <w:p w14:paraId="3AA5A943">
            <w:pPr>
              <w:pStyle w:val="45"/>
              <w:bidi w:val="0"/>
              <w:rPr>
                <w:rFonts w:hint="default"/>
                <w:color w:val="auto"/>
                <w:lang w:val="en-US" w:eastAsia="zh-CN"/>
              </w:rPr>
            </w:pPr>
            <w:r>
              <w:rPr>
                <w:rFonts w:hint="eastAsia"/>
                <w:color w:val="auto"/>
                <w:lang w:val="en-US" w:eastAsia="zh-CN"/>
              </w:rPr>
              <w:t>2024.11.22</w:t>
            </w:r>
          </w:p>
        </w:tc>
        <w:tc>
          <w:tcPr>
            <w:tcW w:w="1103" w:type="dxa"/>
            <w:vAlign w:val="center"/>
          </w:tcPr>
          <w:p w14:paraId="4DD79210">
            <w:pPr>
              <w:pStyle w:val="45"/>
              <w:bidi w:val="0"/>
              <w:rPr>
                <w:rFonts w:hint="default"/>
                <w:color w:val="auto"/>
              </w:rPr>
            </w:pPr>
            <w:r>
              <w:rPr>
                <w:rFonts w:hint="eastAsia"/>
                <w:color w:val="auto"/>
                <w:lang w:val="en-US" w:eastAsia="zh-CN"/>
              </w:rPr>
              <w:t>1</w:t>
            </w:r>
          </w:p>
        </w:tc>
        <w:tc>
          <w:tcPr>
            <w:tcW w:w="555" w:type="pct"/>
            <w:shd w:val="clear" w:color="auto" w:fill="auto"/>
            <w:vAlign w:val="center"/>
          </w:tcPr>
          <w:p w14:paraId="1B15B179">
            <w:pPr>
              <w:pStyle w:val="45"/>
              <w:bidi w:val="0"/>
              <w:rPr>
                <w:rFonts w:hint="default"/>
                <w:color w:val="auto"/>
                <w:lang w:val="en-US" w:eastAsia="zh-CN"/>
              </w:rPr>
            </w:pPr>
            <w:r>
              <w:rPr>
                <w:rFonts w:hint="eastAsia"/>
                <w:color w:val="auto"/>
                <w:lang w:val="en-US" w:eastAsia="zh-CN"/>
              </w:rPr>
              <w:t>ND</w:t>
            </w:r>
          </w:p>
        </w:tc>
        <w:tc>
          <w:tcPr>
            <w:tcW w:w="555" w:type="pct"/>
            <w:shd w:val="clear" w:color="auto" w:fill="auto"/>
            <w:vAlign w:val="center"/>
          </w:tcPr>
          <w:p w14:paraId="01CDCCF1">
            <w:pPr>
              <w:pStyle w:val="45"/>
              <w:bidi w:val="0"/>
              <w:rPr>
                <w:rFonts w:hint="default"/>
                <w:color w:val="auto"/>
                <w:lang w:val="en-US" w:eastAsia="zh-CN"/>
              </w:rPr>
            </w:pPr>
            <w:r>
              <w:rPr>
                <w:rFonts w:hint="eastAsia"/>
                <w:color w:val="auto"/>
                <w:lang w:val="en-US" w:eastAsia="zh-CN"/>
              </w:rPr>
              <w:t>ND</w:t>
            </w:r>
          </w:p>
        </w:tc>
        <w:tc>
          <w:tcPr>
            <w:tcW w:w="555" w:type="pct"/>
            <w:shd w:val="clear" w:color="auto" w:fill="auto"/>
            <w:vAlign w:val="center"/>
          </w:tcPr>
          <w:p w14:paraId="3D8B8E1D">
            <w:pPr>
              <w:pStyle w:val="45"/>
              <w:bidi w:val="0"/>
              <w:rPr>
                <w:rFonts w:hint="default"/>
                <w:color w:val="auto"/>
                <w:lang w:val="en-US" w:eastAsia="zh-CN"/>
              </w:rPr>
            </w:pPr>
            <w:r>
              <w:rPr>
                <w:rFonts w:hint="eastAsia"/>
                <w:color w:val="auto"/>
                <w:lang w:val="en-US" w:eastAsia="zh-CN"/>
              </w:rPr>
              <w:t>ND</w:t>
            </w:r>
          </w:p>
        </w:tc>
        <w:tc>
          <w:tcPr>
            <w:tcW w:w="556" w:type="pct"/>
            <w:shd w:val="clear" w:color="auto" w:fill="auto"/>
            <w:vAlign w:val="center"/>
          </w:tcPr>
          <w:p w14:paraId="29B406EC">
            <w:pPr>
              <w:pStyle w:val="45"/>
              <w:bidi w:val="0"/>
              <w:rPr>
                <w:rFonts w:hint="default"/>
                <w:color w:val="auto"/>
                <w:lang w:val="en-US" w:eastAsia="zh-CN"/>
              </w:rPr>
            </w:pPr>
            <w:r>
              <w:rPr>
                <w:rFonts w:hint="eastAsia"/>
                <w:color w:val="auto"/>
                <w:lang w:val="en-US" w:eastAsia="zh-CN"/>
              </w:rPr>
              <w:t>ND</w:t>
            </w:r>
          </w:p>
        </w:tc>
        <w:tc>
          <w:tcPr>
            <w:tcW w:w="506" w:type="pct"/>
            <w:vMerge w:val="restart"/>
            <w:vAlign w:val="center"/>
          </w:tcPr>
          <w:p w14:paraId="7CBF0818">
            <w:pPr>
              <w:pStyle w:val="45"/>
              <w:bidi w:val="0"/>
              <w:rPr>
                <w:rFonts w:hint="default"/>
                <w:color w:val="auto"/>
                <w:lang w:val="en-US" w:eastAsia="zh-CN"/>
              </w:rPr>
            </w:pPr>
            <w:r>
              <w:rPr>
                <w:rFonts w:hint="eastAsia"/>
                <w:color w:val="auto"/>
                <w:lang w:val="en-US" w:eastAsia="zh-CN"/>
              </w:rPr>
              <w:t>1</w:t>
            </w:r>
          </w:p>
        </w:tc>
      </w:tr>
      <w:tr w14:paraId="3762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0C0DE2B1">
            <w:pPr>
              <w:pStyle w:val="45"/>
              <w:bidi w:val="0"/>
              <w:rPr>
                <w:rFonts w:hint="default"/>
                <w:color w:val="auto"/>
              </w:rPr>
            </w:pPr>
          </w:p>
        </w:tc>
        <w:tc>
          <w:tcPr>
            <w:tcW w:w="641" w:type="pct"/>
            <w:vMerge w:val="continue"/>
            <w:vAlign w:val="center"/>
          </w:tcPr>
          <w:p w14:paraId="54187C0E">
            <w:pPr>
              <w:pStyle w:val="45"/>
              <w:bidi w:val="0"/>
              <w:rPr>
                <w:rFonts w:hint="default"/>
                <w:color w:val="auto"/>
              </w:rPr>
            </w:pPr>
          </w:p>
        </w:tc>
        <w:tc>
          <w:tcPr>
            <w:tcW w:w="1103" w:type="dxa"/>
            <w:vAlign w:val="center"/>
          </w:tcPr>
          <w:p w14:paraId="61C8CA2F">
            <w:pPr>
              <w:pStyle w:val="45"/>
              <w:bidi w:val="0"/>
              <w:rPr>
                <w:rFonts w:hint="default"/>
                <w:color w:val="auto"/>
              </w:rPr>
            </w:pPr>
            <w:r>
              <w:rPr>
                <w:rFonts w:hint="eastAsia"/>
                <w:color w:val="auto"/>
                <w:lang w:val="en-US" w:eastAsia="zh-CN"/>
              </w:rPr>
              <w:t>2</w:t>
            </w:r>
          </w:p>
        </w:tc>
        <w:tc>
          <w:tcPr>
            <w:tcW w:w="555" w:type="pct"/>
            <w:shd w:val="clear" w:color="auto" w:fill="auto"/>
            <w:vAlign w:val="center"/>
          </w:tcPr>
          <w:p w14:paraId="655FB5C9">
            <w:pPr>
              <w:pStyle w:val="45"/>
              <w:bidi w:val="0"/>
              <w:rPr>
                <w:rFonts w:hint="default"/>
                <w:color w:val="auto"/>
                <w:lang w:val="en-US" w:eastAsia="zh-CN"/>
              </w:rPr>
            </w:pPr>
            <w:r>
              <w:rPr>
                <w:rFonts w:hint="eastAsia"/>
                <w:color w:val="auto"/>
                <w:lang w:val="en-US" w:eastAsia="zh-CN"/>
              </w:rPr>
              <w:t>ND</w:t>
            </w:r>
          </w:p>
        </w:tc>
        <w:tc>
          <w:tcPr>
            <w:tcW w:w="555" w:type="pct"/>
            <w:shd w:val="clear" w:color="auto" w:fill="auto"/>
            <w:vAlign w:val="center"/>
          </w:tcPr>
          <w:p w14:paraId="0821B462">
            <w:pPr>
              <w:pStyle w:val="45"/>
              <w:bidi w:val="0"/>
              <w:rPr>
                <w:rFonts w:hint="default"/>
                <w:color w:val="auto"/>
                <w:lang w:val="en-US" w:eastAsia="zh-CN"/>
              </w:rPr>
            </w:pPr>
            <w:r>
              <w:rPr>
                <w:rFonts w:hint="eastAsia"/>
                <w:color w:val="auto"/>
                <w:lang w:val="en-US" w:eastAsia="zh-CN"/>
              </w:rPr>
              <w:t>ND</w:t>
            </w:r>
          </w:p>
        </w:tc>
        <w:tc>
          <w:tcPr>
            <w:tcW w:w="555" w:type="pct"/>
            <w:shd w:val="clear" w:color="auto" w:fill="auto"/>
            <w:vAlign w:val="center"/>
          </w:tcPr>
          <w:p w14:paraId="1BC38CDF">
            <w:pPr>
              <w:pStyle w:val="45"/>
              <w:bidi w:val="0"/>
              <w:rPr>
                <w:rFonts w:hint="default"/>
                <w:color w:val="auto"/>
                <w:lang w:val="en-US" w:eastAsia="zh-CN"/>
              </w:rPr>
            </w:pPr>
            <w:r>
              <w:rPr>
                <w:rFonts w:hint="eastAsia"/>
                <w:color w:val="auto"/>
                <w:lang w:val="en-US" w:eastAsia="zh-CN"/>
              </w:rPr>
              <w:t>ND</w:t>
            </w:r>
          </w:p>
        </w:tc>
        <w:tc>
          <w:tcPr>
            <w:tcW w:w="556" w:type="pct"/>
            <w:shd w:val="clear" w:color="auto" w:fill="auto"/>
            <w:vAlign w:val="center"/>
          </w:tcPr>
          <w:p w14:paraId="380D9C44">
            <w:pPr>
              <w:pStyle w:val="45"/>
              <w:bidi w:val="0"/>
              <w:rPr>
                <w:rFonts w:hint="default"/>
                <w:color w:val="auto"/>
                <w:lang w:val="en-US" w:eastAsia="zh-CN"/>
              </w:rPr>
            </w:pPr>
            <w:r>
              <w:rPr>
                <w:rFonts w:hint="eastAsia"/>
                <w:color w:val="auto"/>
                <w:lang w:val="en-US" w:eastAsia="zh-CN"/>
              </w:rPr>
              <w:t>ND</w:t>
            </w:r>
          </w:p>
        </w:tc>
        <w:tc>
          <w:tcPr>
            <w:tcW w:w="506" w:type="pct"/>
            <w:vMerge w:val="continue"/>
            <w:vAlign w:val="center"/>
          </w:tcPr>
          <w:p w14:paraId="15E1D996">
            <w:pPr>
              <w:pStyle w:val="45"/>
              <w:bidi w:val="0"/>
              <w:rPr>
                <w:rFonts w:hint="default"/>
                <w:color w:val="auto"/>
              </w:rPr>
            </w:pPr>
          </w:p>
        </w:tc>
      </w:tr>
      <w:tr w14:paraId="54F6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426CDA78">
            <w:pPr>
              <w:pStyle w:val="45"/>
              <w:bidi w:val="0"/>
              <w:rPr>
                <w:rFonts w:hint="default"/>
                <w:color w:val="auto"/>
              </w:rPr>
            </w:pPr>
          </w:p>
        </w:tc>
        <w:tc>
          <w:tcPr>
            <w:tcW w:w="641" w:type="pct"/>
            <w:vMerge w:val="continue"/>
            <w:vAlign w:val="center"/>
          </w:tcPr>
          <w:p w14:paraId="234043C3">
            <w:pPr>
              <w:pStyle w:val="45"/>
              <w:bidi w:val="0"/>
              <w:rPr>
                <w:rFonts w:hint="default"/>
                <w:color w:val="auto"/>
              </w:rPr>
            </w:pPr>
          </w:p>
        </w:tc>
        <w:tc>
          <w:tcPr>
            <w:tcW w:w="1103" w:type="dxa"/>
            <w:vAlign w:val="center"/>
          </w:tcPr>
          <w:p w14:paraId="7D89830F">
            <w:pPr>
              <w:pStyle w:val="45"/>
              <w:bidi w:val="0"/>
              <w:rPr>
                <w:rFonts w:hint="default"/>
                <w:color w:val="auto"/>
              </w:rPr>
            </w:pPr>
            <w:r>
              <w:rPr>
                <w:rFonts w:hint="eastAsia"/>
                <w:color w:val="auto"/>
                <w:lang w:val="en-US" w:eastAsia="zh-CN"/>
              </w:rPr>
              <w:t>3</w:t>
            </w:r>
          </w:p>
        </w:tc>
        <w:tc>
          <w:tcPr>
            <w:tcW w:w="555" w:type="pct"/>
            <w:shd w:val="clear" w:color="auto" w:fill="auto"/>
            <w:vAlign w:val="center"/>
          </w:tcPr>
          <w:p w14:paraId="180F3DCE">
            <w:pPr>
              <w:pStyle w:val="45"/>
              <w:bidi w:val="0"/>
              <w:rPr>
                <w:rFonts w:hint="default"/>
                <w:color w:val="auto"/>
                <w:lang w:val="en-US" w:eastAsia="zh-CN"/>
              </w:rPr>
            </w:pPr>
            <w:r>
              <w:rPr>
                <w:rFonts w:hint="eastAsia"/>
                <w:color w:val="auto"/>
                <w:lang w:val="en-US" w:eastAsia="zh-CN"/>
              </w:rPr>
              <w:t>ND</w:t>
            </w:r>
          </w:p>
        </w:tc>
        <w:tc>
          <w:tcPr>
            <w:tcW w:w="555" w:type="pct"/>
            <w:shd w:val="clear" w:color="auto" w:fill="auto"/>
            <w:vAlign w:val="center"/>
          </w:tcPr>
          <w:p w14:paraId="29DF289B">
            <w:pPr>
              <w:pStyle w:val="45"/>
              <w:bidi w:val="0"/>
              <w:rPr>
                <w:rFonts w:hint="default"/>
                <w:color w:val="auto"/>
                <w:lang w:val="en-US" w:eastAsia="zh-CN"/>
              </w:rPr>
            </w:pPr>
            <w:r>
              <w:rPr>
                <w:rFonts w:hint="eastAsia"/>
                <w:color w:val="auto"/>
                <w:lang w:val="en-US" w:eastAsia="zh-CN"/>
              </w:rPr>
              <w:t>ND</w:t>
            </w:r>
          </w:p>
        </w:tc>
        <w:tc>
          <w:tcPr>
            <w:tcW w:w="555" w:type="pct"/>
            <w:shd w:val="clear" w:color="auto" w:fill="auto"/>
            <w:vAlign w:val="center"/>
          </w:tcPr>
          <w:p w14:paraId="2F6FD841">
            <w:pPr>
              <w:pStyle w:val="45"/>
              <w:bidi w:val="0"/>
              <w:rPr>
                <w:rFonts w:hint="default"/>
                <w:color w:val="auto"/>
                <w:lang w:val="en-US" w:eastAsia="zh-CN"/>
              </w:rPr>
            </w:pPr>
            <w:r>
              <w:rPr>
                <w:rFonts w:hint="eastAsia"/>
                <w:color w:val="auto"/>
                <w:lang w:val="en-US" w:eastAsia="zh-CN"/>
              </w:rPr>
              <w:t>ND</w:t>
            </w:r>
          </w:p>
        </w:tc>
        <w:tc>
          <w:tcPr>
            <w:tcW w:w="556" w:type="pct"/>
            <w:shd w:val="clear" w:color="auto" w:fill="auto"/>
            <w:vAlign w:val="center"/>
          </w:tcPr>
          <w:p w14:paraId="72B178BA">
            <w:pPr>
              <w:pStyle w:val="45"/>
              <w:bidi w:val="0"/>
              <w:rPr>
                <w:rFonts w:hint="default"/>
                <w:color w:val="auto"/>
                <w:lang w:val="en-US" w:eastAsia="zh-CN"/>
              </w:rPr>
            </w:pPr>
            <w:r>
              <w:rPr>
                <w:rFonts w:hint="eastAsia"/>
                <w:color w:val="auto"/>
                <w:lang w:val="en-US" w:eastAsia="zh-CN"/>
              </w:rPr>
              <w:t>ND</w:t>
            </w:r>
          </w:p>
        </w:tc>
        <w:tc>
          <w:tcPr>
            <w:tcW w:w="506" w:type="pct"/>
            <w:vMerge w:val="continue"/>
            <w:vAlign w:val="center"/>
          </w:tcPr>
          <w:p w14:paraId="737A7537">
            <w:pPr>
              <w:pStyle w:val="45"/>
              <w:bidi w:val="0"/>
              <w:rPr>
                <w:rFonts w:hint="default"/>
                <w:color w:val="auto"/>
              </w:rPr>
            </w:pPr>
          </w:p>
        </w:tc>
      </w:tr>
      <w:tr w14:paraId="6B4B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vAlign w:val="center"/>
          </w:tcPr>
          <w:p w14:paraId="5EA0DAC0">
            <w:pPr>
              <w:pStyle w:val="45"/>
              <w:bidi w:val="0"/>
              <w:rPr>
                <w:rFonts w:hint="default"/>
                <w:color w:val="auto"/>
                <w:lang w:val="en-US" w:eastAsia="zh-CN"/>
              </w:rPr>
            </w:pPr>
            <w:r>
              <w:rPr>
                <w:rFonts w:hint="eastAsia"/>
                <w:color w:val="auto"/>
                <w:lang w:val="en-US" w:eastAsia="zh-CN"/>
              </w:rPr>
              <w:t>四氯乙烯</w:t>
            </w:r>
          </w:p>
        </w:tc>
        <w:tc>
          <w:tcPr>
            <w:tcW w:w="641" w:type="pct"/>
            <w:vMerge w:val="restart"/>
            <w:shd w:val="clear" w:color="auto" w:fill="auto"/>
            <w:vAlign w:val="center"/>
          </w:tcPr>
          <w:p w14:paraId="37B13872">
            <w:pPr>
              <w:pStyle w:val="45"/>
              <w:bidi w:val="0"/>
              <w:rPr>
                <w:rFonts w:hint="default"/>
                <w:color w:val="auto"/>
                <w:lang w:val="en-US" w:eastAsia="zh-CN"/>
              </w:rPr>
            </w:pPr>
            <w:r>
              <w:rPr>
                <w:rFonts w:hint="eastAsia"/>
                <w:color w:val="auto"/>
                <w:lang w:val="en-US" w:eastAsia="zh-CN"/>
              </w:rPr>
              <w:t>2024.11.22</w:t>
            </w:r>
          </w:p>
        </w:tc>
        <w:tc>
          <w:tcPr>
            <w:tcW w:w="1103" w:type="dxa"/>
            <w:shd w:val="clear" w:color="auto" w:fill="auto"/>
            <w:vAlign w:val="center"/>
          </w:tcPr>
          <w:p w14:paraId="424817D2">
            <w:pPr>
              <w:pStyle w:val="45"/>
              <w:bidi w:val="0"/>
              <w:rPr>
                <w:rFonts w:hint="default"/>
                <w:color w:val="auto"/>
                <w:lang w:val="en-US" w:eastAsia="zh-CN"/>
              </w:rPr>
            </w:pPr>
            <w:r>
              <w:rPr>
                <w:rFonts w:hint="eastAsia"/>
                <w:color w:val="auto"/>
                <w:lang w:val="en-US" w:eastAsia="zh-CN"/>
              </w:rPr>
              <w:t>1</w:t>
            </w:r>
          </w:p>
        </w:tc>
        <w:tc>
          <w:tcPr>
            <w:tcW w:w="555" w:type="pct"/>
            <w:shd w:val="clear" w:color="auto" w:fill="auto"/>
            <w:vAlign w:val="center"/>
          </w:tcPr>
          <w:p w14:paraId="733EE8A9">
            <w:pPr>
              <w:pStyle w:val="45"/>
              <w:bidi w:val="0"/>
              <w:rPr>
                <w:rFonts w:hint="default"/>
                <w:color w:val="auto"/>
                <w:lang w:val="en-US" w:eastAsia="zh-CN"/>
              </w:rPr>
            </w:pPr>
            <w:r>
              <w:rPr>
                <w:rFonts w:hint="eastAsia"/>
                <w:color w:val="auto"/>
                <w:lang w:val="en-US" w:eastAsia="zh-CN"/>
              </w:rPr>
              <w:t>0.0015</w:t>
            </w:r>
          </w:p>
        </w:tc>
        <w:tc>
          <w:tcPr>
            <w:tcW w:w="555" w:type="pct"/>
            <w:shd w:val="clear" w:color="auto" w:fill="auto"/>
            <w:vAlign w:val="center"/>
          </w:tcPr>
          <w:p w14:paraId="7F50FCD0">
            <w:pPr>
              <w:pStyle w:val="45"/>
              <w:bidi w:val="0"/>
              <w:rPr>
                <w:rFonts w:hint="default"/>
                <w:color w:val="auto"/>
                <w:lang w:val="en-US" w:eastAsia="zh-CN"/>
              </w:rPr>
            </w:pPr>
            <w:r>
              <w:rPr>
                <w:rFonts w:hint="eastAsia"/>
                <w:color w:val="auto"/>
                <w:lang w:val="en-US" w:eastAsia="zh-CN"/>
              </w:rPr>
              <w:t>0.0019</w:t>
            </w:r>
          </w:p>
        </w:tc>
        <w:tc>
          <w:tcPr>
            <w:tcW w:w="555" w:type="pct"/>
            <w:shd w:val="clear" w:color="auto" w:fill="auto"/>
            <w:vAlign w:val="center"/>
          </w:tcPr>
          <w:p w14:paraId="651FA018">
            <w:pPr>
              <w:pStyle w:val="45"/>
              <w:bidi w:val="0"/>
              <w:rPr>
                <w:rFonts w:hint="default"/>
                <w:color w:val="auto"/>
                <w:lang w:val="en-US" w:eastAsia="zh-CN"/>
              </w:rPr>
            </w:pPr>
            <w:r>
              <w:rPr>
                <w:rFonts w:hint="eastAsia"/>
                <w:color w:val="auto"/>
                <w:lang w:val="en-US" w:eastAsia="zh-CN"/>
              </w:rPr>
              <w:t>0.0823</w:t>
            </w:r>
          </w:p>
        </w:tc>
        <w:tc>
          <w:tcPr>
            <w:tcW w:w="556" w:type="pct"/>
            <w:shd w:val="clear" w:color="auto" w:fill="auto"/>
            <w:vAlign w:val="center"/>
          </w:tcPr>
          <w:p w14:paraId="74E8AECE">
            <w:pPr>
              <w:pStyle w:val="45"/>
              <w:bidi w:val="0"/>
              <w:rPr>
                <w:rFonts w:hint="default"/>
                <w:color w:val="auto"/>
                <w:lang w:val="en-US" w:eastAsia="zh-CN"/>
              </w:rPr>
            </w:pPr>
            <w:r>
              <w:rPr>
                <w:rFonts w:hint="eastAsia"/>
                <w:color w:val="auto"/>
                <w:lang w:val="en-US" w:eastAsia="zh-CN"/>
              </w:rPr>
              <w:t>0.0054</w:t>
            </w:r>
          </w:p>
        </w:tc>
        <w:tc>
          <w:tcPr>
            <w:tcW w:w="506" w:type="pct"/>
            <w:vMerge w:val="restart"/>
            <w:vAlign w:val="center"/>
          </w:tcPr>
          <w:p w14:paraId="4DC0A820">
            <w:pPr>
              <w:pStyle w:val="45"/>
              <w:bidi w:val="0"/>
              <w:rPr>
                <w:rFonts w:hint="default"/>
                <w:color w:val="auto"/>
                <w:lang w:val="en-US" w:eastAsia="zh-CN"/>
              </w:rPr>
            </w:pPr>
            <w:r>
              <w:rPr>
                <w:rFonts w:hint="eastAsia"/>
                <w:color w:val="auto"/>
                <w:lang w:val="en-US" w:eastAsia="zh-CN"/>
              </w:rPr>
              <w:t>1</w:t>
            </w:r>
          </w:p>
        </w:tc>
      </w:tr>
      <w:tr w14:paraId="12A6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4D965B3B">
            <w:pPr>
              <w:pStyle w:val="45"/>
              <w:bidi w:val="0"/>
              <w:rPr>
                <w:rFonts w:hint="default"/>
                <w:color w:val="auto"/>
              </w:rPr>
            </w:pPr>
          </w:p>
        </w:tc>
        <w:tc>
          <w:tcPr>
            <w:tcW w:w="641" w:type="pct"/>
            <w:vMerge w:val="continue"/>
            <w:vAlign w:val="center"/>
          </w:tcPr>
          <w:p w14:paraId="29FEACD5">
            <w:pPr>
              <w:pStyle w:val="45"/>
              <w:bidi w:val="0"/>
              <w:rPr>
                <w:rFonts w:hint="default"/>
                <w:color w:val="auto"/>
              </w:rPr>
            </w:pPr>
          </w:p>
        </w:tc>
        <w:tc>
          <w:tcPr>
            <w:tcW w:w="1103" w:type="dxa"/>
            <w:shd w:val="clear" w:color="auto" w:fill="auto"/>
            <w:vAlign w:val="center"/>
          </w:tcPr>
          <w:p w14:paraId="7ACDA1ED">
            <w:pPr>
              <w:pStyle w:val="45"/>
              <w:bidi w:val="0"/>
              <w:rPr>
                <w:rFonts w:hint="default"/>
                <w:color w:val="auto"/>
                <w:lang w:val="en-US" w:eastAsia="zh-CN"/>
              </w:rPr>
            </w:pPr>
            <w:r>
              <w:rPr>
                <w:rFonts w:hint="eastAsia"/>
                <w:color w:val="auto"/>
                <w:lang w:val="en-US" w:eastAsia="zh-CN"/>
              </w:rPr>
              <w:t>2</w:t>
            </w:r>
          </w:p>
        </w:tc>
        <w:tc>
          <w:tcPr>
            <w:tcW w:w="555" w:type="pct"/>
            <w:shd w:val="clear" w:color="auto" w:fill="auto"/>
            <w:vAlign w:val="center"/>
          </w:tcPr>
          <w:p w14:paraId="4EB5F56A">
            <w:pPr>
              <w:pStyle w:val="45"/>
              <w:bidi w:val="0"/>
              <w:rPr>
                <w:rFonts w:hint="default"/>
                <w:color w:val="auto"/>
                <w:lang w:val="en-US" w:eastAsia="zh-CN"/>
              </w:rPr>
            </w:pPr>
            <w:r>
              <w:rPr>
                <w:rFonts w:hint="eastAsia"/>
                <w:color w:val="auto"/>
                <w:lang w:val="en-US" w:eastAsia="zh-CN"/>
              </w:rPr>
              <w:t>0.0016</w:t>
            </w:r>
          </w:p>
        </w:tc>
        <w:tc>
          <w:tcPr>
            <w:tcW w:w="555" w:type="pct"/>
            <w:shd w:val="clear" w:color="auto" w:fill="auto"/>
            <w:vAlign w:val="center"/>
          </w:tcPr>
          <w:p w14:paraId="3415D4A3">
            <w:pPr>
              <w:pStyle w:val="45"/>
              <w:bidi w:val="0"/>
              <w:rPr>
                <w:rFonts w:hint="default"/>
                <w:color w:val="auto"/>
                <w:lang w:val="en-US" w:eastAsia="zh-CN"/>
              </w:rPr>
            </w:pPr>
            <w:r>
              <w:rPr>
                <w:rFonts w:hint="eastAsia"/>
                <w:color w:val="auto"/>
                <w:lang w:val="en-US" w:eastAsia="zh-CN"/>
              </w:rPr>
              <w:t>0.0014</w:t>
            </w:r>
          </w:p>
        </w:tc>
        <w:tc>
          <w:tcPr>
            <w:tcW w:w="555" w:type="pct"/>
            <w:shd w:val="clear" w:color="auto" w:fill="auto"/>
            <w:vAlign w:val="center"/>
          </w:tcPr>
          <w:p w14:paraId="179CA66C">
            <w:pPr>
              <w:pStyle w:val="45"/>
              <w:bidi w:val="0"/>
              <w:rPr>
                <w:rFonts w:hint="default"/>
                <w:color w:val="auto"/>
                <w:lang w:val="en-US" w:eastAsia="zh-CN"/>
              </w:rPr>
            </w:pPr>
            <w:r>
              <w:rPr>
                <w:rFonts w:hint="eastAsia"/>
                <w:color w:val="auto"/>
                <w:lang w:val="en-US" w:eastAsia="zh-CN"/>
              </w:rPr>
              <w:t>0.0075</w:t>
            </w:r>
          </w:p>
        </w:tc>
        <w:tc>
          <w:tcPr>
            <w:tcW w:w="556" w:type="pct"/>
            <w:shd w:val="clear" w:color="auto" w:fill="auto"/>
            <w:vAlign w:val="center"/>
          </w:tcPr>
          <w:p w14:paraId="609297A8">
            <w:pPr>
              <w:pStyle w:val="45"/>
              <w:bidi w:val="0"/>
              <w:rPr>
                <w:rFonts w:hint="default"/>
                <w:color w:val="auto"/>
                <w:lang w:val="en-US" w:eastAsia="zh-CN"/>
              </w:rPr>
            </w:pPr>
            <w:r>
              <w:rPr>
                <w:rFonts w:hint="eastAsia"/>
                <w:color w:val="auto"/>
                <w:lang w:val="en-US" w:eastAsia="zh-CN"/>
              </w:rPr>
              <w:t>0.0020</w:t>
            </w:r>
          </w:p>
        </w:tc>
        <w:tc>
          <w:tcPr>
            <w:tcW w:w="506" w:type="pct"/>
            <w:vMerge w:val="continue"/>
            <w:vAlign w:val="center"/>
          </w:tcPr>
          <w:p w14:paraId="6DBAE881">
            <w:pPr>
              <w:pStyle w:val="45"/>
              <w:bidi w:val="0"/>
              <w:rPr>
                <w:rFonts w:hint="default"/>
                <w:color w:val="auto"/>
              </w:rPr>
            </w:pPr>
          </w:p>
        </w:tc>
      </w:tr>
      <w:tr w14:paraId="1CB2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5415F442">
            <w:pPr>
              <w:pStyle w:val="45"/>
              <w:bidi w:val="0"/>
              <w:rPr>
                <w:rFonts w:hint="default"/>
                <w:color w:val="auto"/>
              </w:rPr>
            </w:pPr>
          </w:p>
        </w:tc>
        <w:tc>
          <w:tcPr>
            <w:tcW w:w="641" w:type="pct"/>
            <w:vMerge w:val="continue"/>
            <w:vAlign w:val="center"/>
          </w:tcPr>
          <w:p w14:paraId="620C9C1D">
            <w:pPr>
              <w:pStyle w:val="45"/>
              <w:bidi w:val="0"/>
              <w:rPr>
                <w:rFonts w:hint="default"/>
                <w:color w:val="auto"/>
              </w:rPr>
            </w:pPr>
          </w:p>
        </w:tc>
        <w:tc>
          <w:tcPr>
            <w:tcW w:w="1103" w:type="dxa"/>
            <w:shd w:val="clear" w:color="auto" w:fill="auto"/>
            <w:vAlign w:val="center"/>
          </w:tcPr>
          <w:p w14:paraId="32155CD1">
            <w:pPr>
              <w:pStyle w:val="45"/>
              <w:bidi w:val="0"/>
              <w:rPr>
                <w:rFonts w:hint="default"/>
                <w:color w:val="auto"/>
                <w:lang w:val="en-US" w:eastAsia="zh-CN"/>
              </w:rPr>
            </w:pPr>
            <w:r>
              <w:rPr>
                <w:rFonts w:hint="eastAsia"/>
                <w:color w:val="auto"/>
                <w:lang w:val="en-US" w:eastAsia="zh-CN"/>
              </w:rPr>
              <w:t>3</w:t>
            </w:r>
          </w:p>
        </w:tc>
        <w:tc>
          <w:tcPr>
            <w:tcW w:w="555" w:type="pct"/>
            <w:shd w:val="clear" w:color="auto" w:fill="auto"/>
            <w:vAlign w:val="center"/>
          </w:tcPr>
          <w:p w14:paraId="0F941EF1">
            <w:pPr>
              <w:pStyle w:val="45"/>
              <w:bidi w:val="0"/>
              <w:rPr>
                <w:rFonts w:hint="default"/>
                <w:color w:val="auto"/>
                <w:lang w:val="en-US" w:eastAsia="zh-CN"/>
              </w:rPr>
            </w:pPr>
            <w:r>
              <w:rPr>
                <w:rFonts w:hint="eastAsia"/>
                <w:color w:val="auto"/>
                <w:lang w:val="en-US" w:eastAsia="zh-CN"/>
              </w:rPr>
              <w:t>0.0022</w:t>
            </w:r>
          </w:p>
        </w:tc>
        <w:tc>
          <w:tcPr>
            <w:tcW w:w="555" w:type="pct"/>
            <w:shd w:val="clear" w:color="auto" w:fill="auto"/>
            <w:vAlign w:val="center"/>
          </w:tcPr>
          <w:p w14:paraId="00950002">
            <w:pPr>
              <w:pStyle w:val="45"/>
              <w:bidi w:val="0"/>
              <w:rPr>
                <w:rFonts w:hint="default"/>
                <w:color w:val="auto"/>
                <w:lang w:val="en-US" w:eastAsia="zh-CN"/>
              </w:rPr>
            </w:pPr>
            <w:r>
              <w:rPr>
                <w:rFonts w:hint="eastAsia"/>
                <w:color w:val="auto"/>
                <w:lang w:val="en-US" w:eastAsia="zh-CN"/>
              </w:rPr>
              <w:t>0.0014</w:t>
            </w:r>
          </w:p>
        </w:tc>
        <w:tc>
          <w:tcPr>
            <w:tcW w:w="555" w:type="pct"/>
            <w:shd w:val="clear" w:color="auto" w:fill="auto"/>
            <w:vAlign w:val="center"/>
          </w:tcPr>
          <w:p w14:paraId="3CF3FDD1">
            <w:pPr>
              <w:pStyle w:val="45"/>
              <w:bidi w:val="0"/>
              <w:rPr>
                <w:rFonts w:hint="default"/>
                <w:color w:val="auto"/>
                <w:lang w:val="en-US" w:eastAsia="zh-CN"/>
              </w:rPr>
            </w:pPr>
            <w:r>
              <w:rPr>
                <w:rFonts w:hint="eastAsia"/>
                <w:color w:val="auto"/>
                <w:lang w:val="en-US" w:eastAsia="zh-CN"/>
              </w:rPr>
              <w:t>0.0031</w:t>
            </w:r>
          </w:p>
        </w:tc>
        <w:tc>
          <w:tcPr>
            <w:tcW w:w="556" w:type="pct"/>
            <w:shd w:val="clear" w:color="auto" w:fill="auto"/>
            <w:vAlign w:val="center"/>
          </w:tcPr>
          <w:p w14:paraId="777EDE0C">
            <w:pPr>
              <w:pStyle w:val="45"/>
              <w:bidi w:val="0"/>
              <w:rPr>
                <w:rFonts w:hint="default"/>
                <w:color w:val="auto"/>
                <w:lang w:val="en-US" w:eastAsia="zh-CN"/>
              </w:rPr>
            </w:pPr>
            <w:r>
              <w:rPr>
                <w:rFonts w:hint="eastAsia"/>
                <w:color w:val="auto"/>
                <w:lang w:val="en-US" w:eastAsia="zh-CN"/>
              </w:rPr>
              <w:t>0.0018</w:t>
            </w:r>
          </w:p>
        </w:tc>
        <w:tc>
          <w:tcPr>
            <w:tcW w:w="506" w:type="pct"/>
            <w:vMerge w:val="continue"/>
            <w:vAlign w:val="center"/>
          </w:tcPr>
          <w:p w14:paraId="482F38AB">
            <w:pPr>
              <w:pStyle w:val="45"/>
              <w:bidi w:val="0"/>
              <w:rPr>
                <w:rFonts w:hint="default"/>
                <w:color w:val="auto"/>
              </w:rPr>
            </w:pPr>
          </w:p>
        </w:tc>
      </w:tr>
      <w:tr w14:paraId="26D0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vAlign w:val="center"/>
          </w:tcPr>
          <w:p w14:paraId="6BD6F789">
            <w:pPr>
              <w:pStyle w:val="45"/>
              <w:bidi w:val="0"/>
              <w:rPr>
                <w:rFonts w:hint="default"/>
                <w:color w:val="auto"/>
                <w:lang w:val="en-US" w:eastAsia="zh-CN"/>
              </w:rPr>
            </w:pPr>
            <w:r>
              <w:rPr>
                <w:rFonts w:hint="eastAsia"/>
                <w:color w:val="auto"/>
                <w:lang w:val="en-US" w:eastAsia="zh-CN"/>
              </w:rPr>
              <w:t>氯化氢</w:t>
            </w:r>
          </w:p>
        </w:tc>
        <w:tc>
          <w:tcPr>
            <w:tcW w:w="641" w:type="pct"/>
            <w:vMerge w:val="restart"/>
            <w:vAlign w:val="center"/>
          </w:tcPr>
          <w:p w14:paraId="55AD35D2">
            <w:pPr>
              <w:pStyle w:val="45"/>
              <w:bidi w:val="0"/>
              <w:rPr>
                <w:rFonts w:hint="default"/>
                <w:color w:val="auto"/>
                <w:lang w:val="en-US" w:eastAsia="zh-CN"/>
              </w:rPr>
            </w:pPr>
            <w:r>
              <w:rPr>
                <w:rFonts w:hint="eastAsia"/>
                <w:color w:val="auto"/>
                <w:lang w:val="en-US" w:eastAsia="zh-CN"/>
              </w:rPr>
              <w:t>2024.11.22</w:t>
            </w:r>
          </w:p>
        </w:tc>
        <w:tc>
          <w:tcPr>
            <w:tcW w:w="1103" w:type="dxa"/>
            <w:shd w:val="clear" w:color="auto" w:fill="auto"/>
            <w:vAlign w:val="center"/>
          </w:tcPr>
          <w:p w14:paraId="3BAC3575">
            <w:pPr>
              <w:pStyle w:val="45"/>
              <w:bidi w:val="0"/>
              <w:rPr>
                <w:rFonts w:hint="default"/>
                <w:color w:val="auto"/>
              </w:rPr>
            </w:pPr>
            <w:r>
              <w:rPr>
                <w:rFonts w:hint="eastAsia"/>
                <w:color w:val="auto"/>
                <w:lang w:val="en-US" w:eastAsia="zh-CN"/>
              </w:rPr>
              <w:t>1</w:t>
            </w:r>
          </w:p>
        </w:tc>
        <w:tc>
          <w:tcPr>
            <w:tcW w:w="555" w:type="pct"/>
            <w:shd w:val="clear" w:color="auto" w:fill="auto"/>
            <w:vAlign w:val="center"/>
          </w:tcPr>
          <w:p w14:paraId="31860CFC">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1866A7F9">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07A4FAB7">
            <w:pPr>
              <w:pStyle w:val="45"/>
              <w:bidi w:val="0"/>
              <w:rPr>
                <w:rFonts w:hint="default"/>
                <w:color w:val="auto"/>
                <w:lang w:val="en-US" w:eastAsia="en-US"/>
              </w:rPr>
            </w:pPr>
            <w:r>
              <w:rPr>
                <w:rFonts w:hint="eastAsia"/>
                <w:color w:val="auto"/>
                <w:lang w:val="en-US" w:eastAsia="zh-CN"/>
              </w:rPr>
              <w:t>ND</w:t>
            </w:r>
          </w:p>
        </w:tc>
        <w:tc>
          <w:tcPr>
            <w:tcW w:w="556" w:type="pct"/>
            <w:shd w:val="clear" w:color="auto" w:fill="auto"/>
            <w:vAlign w:val="center"/>
          </w:tcPr>
          <w:p w14:paraId="018D51E4">
            <w:pPr>
              <w:pStyle w:val="45"/>
              <w:bidi w:val="0"/>
              <w:rPr>
                <w:rFonts w:hint="default"/>
                <w:color w:val="auto"/>
                <w:lang w:val="en-US" w:eastAsia="en-US"/>
              </w:rPr>
            </w:pPr>
            <w:r>
              <w:rPr>
                <w:rFonts w:hint="eastAsia"/>
                <w:color w:val="auto"/>
                <w:lang w:val="en-US" w:eastAsia="zh-CN"/>
              </w:rPr>
              <w:t>ND</w:t>
            </w:r>
          </w:p>
        </w:tc>
        <w:tc>
          <w:tcPr>
            <w:tcW w:w="506" w:type="pct"/>
            <w:vMerge w:val="restart"/>
            <w:vAlign w:val="center"/>
          </w:tcPr>
          <w:p w14:paraId="6BD38E2F">
            <w:pPr>
              <w:pStyle w:val="45"/>
              <w:bidi w:val="0"/>
              <w:rPr>
                <w:rFonts w:hint="default"/>
                <w:color w:val="auto"/>
                <w:lang w:val="en-US" w:eastAsia="zh-CN"/>
              </w:rPr>
            </w:pPr>
            <w:r>
              <w:rPr>
                <w:rFonts w:hint="eastAsia"/>
                <w:color w:val="auto"/>
                <w:lang w:val="en-US" w:eastAsia="zh-CN"/>
              </w:rPr>
              <w:t>0.05</w:t>
            </w:r>
          </w:p>
        </w:tc>
      </w:tr>
      <w:tr w14:paraId="5855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272F2453">
            <w:pPr>
              <w:pStyle w:val="45"/>
              <w:bidi w:val="0"/>
              <w:rPr>
                <w:rFonts w:hint="default"/>
                <w:color w:val="auto"/>
                <w:lang w:val="en-US" w:eastAsia="zh-CN"/>
              </w:rPr>
            </w:pPr>
          </w:p>
        </w:tc>
        <w:tc>
          <w:tcPr>
            <w:tcW w:w="641" w:type="pct"/>
            <w:vMerge w:val="continue"/>
            <w:vAlign w:val="center"/>
          </w:tcPr>
          <w:p w14:paraId="015A97EE">
            <w:pPr>
              <w:pStyle w:val="45"/>
              <w:bidi w:val="0"/>
              <w:rPr>
                <w:rFonts w:hint="default"/>
                <w:color w:val="auto"/>
              </w:rPr>
            </w:pPr>
          </w:p>
        </w:tc>
        <w:tc>
          <w:tcPr>
            <w:tcW w:w="1103" w:type="dxa"/>
            <w:shd w:val="clear" w:color="auto" w:fill="auto"/>
            <w:vAlign w:val="center"/>
          </w:tcPr>
          <w:p w14:paraId="657217CB">
            <w:pPr>
              <w:pStyle w:val="45"/>
              <w:bidi w:val="0"/>
              <w:rPr>
                <w:rFonts w:hint="default"/>
                <w:color w:val="auto"/>
              </w:rPr>
            </w:pPr>
            <w:r>
              <w:rPr>
                <w:rFonts w:hint="eastAsia"/>
                <w:color w:val="auto"/>
                <w:lang w:val="en-US" w:eastAsia="zh-CN"/>
              </w:rPr>
              <w:t>2</w:t>
            </w:r>
          </w:p>
        </w:tc>
        <w:tc>
          <w:tcPr>
            <w:tcW w:w="555" w:type="pct"/>
            <w:shd w:val="clear" w:color="auto" w:fill="auto"/>
            <w:vAlign w:val="center"/>
          </w:tcPr>
          <w:p w14:paraId="18376C68">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12E71147">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6F0577DB">
            <w:pPr>
              <w:pStyle w:val="45"/>
              <w:bidi w:val="0"/>
              <w:rPr>
                <w:rFonts w:hint="default"/>
                <w:color w:val="auto"/>
                <w:lang w:val="en-US" w:eastAsia="en-US"/>
              </w:rPr>
            </w:pPr>
            <w:r>
              <w:rPr>
                <w:rFonts w:hint="eastAsia"/>
                <w:color w:val="auto"/>
                <w:lang w:val="en-US" w:eastAsia="zh-CN"/>
              </w:rPr>
              <w:t>ND</w:t>
            </w:r>
          </w:p>
        </w:tc>
        <w:tc>
          <w:tcPr>
            <w:tcW w:w="556" w:type="pct"/>
            <w:shd w:val="clear" w:color="auto" w:fill="auto"/>
            <w:vAlign w:val="center"/>
          </w:tcPr>
          <w:p w14:paraId="1B350B9A">
            <w:pPr>
              <w:pStyle w:val="45"/>
              <w:bidi w:val="0"/>
              <w:rPr>
                <w:rFonts w:hint="default"/>
                <w:color w:val="auto"/>
                <w:lang w:val="en-US" w:eastAsia="en-US"/>
              </w:rPr>
            </w:pPr>
            <w:r>
              <w:rPr>
                <w:rFonts w:hint="eastAsia"/>
                <w:color w:val="auto"/>
                <w:lang w:val="en-US" w:eastAsia="zh-CN"/>
              </w:rPr>
              <w:t>ND</w:t>
            </w:r>
          </w:p>
        </w:tc>
        <w:tc>
          <w:tcPr>
            <w:tcW w:w="506" w:type="pct"/>
            <w:vMerge w:val="continue"/>
            <w:vAlign w:val="center"/>
          </w:tcPr>
          <w:p w14:paraId="6712A9E0">
            <w:pPr>
              <w:pStyle w:val="45"/>
              <w:bidi w:val="0"/>
              <w:rPr>
                <w:rFonts w:hint="default"/>
                <w:color w:val="auto"/>
              </w:rPr>
            </w:pPr>
          </w:p>
        </w:tc>
      </w:tr>
      <w:tr w14:paraId="4B36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0B0FAC75">
            <w:pPr>
              <w:pStyle w:val="45"/>
              <w:bidi w:val="0"/>
              <w:rPr>
                <w:rFonts w:hint="default"/>
                <w:color w:val="auto"/>
                <w:lang w:val="en-US" w:eastAsia="zh-CN"/>
              </w:rPr>
            </w:pPr>
          </w:p>
        </w:tc>
        <w:tc>
          <w:tcPr>
            <w:tcW w:w="641" w:type="pct"/>
            <w:vMerge w:val="continue"/>
            <w:vAlign w:val="center"/>
          </w:tcPr>
          <w:p w14:paraId="22B4ECB8">
            <w:pPr>
              <w:pStyle w:val="45"/>
              <w:bidi w:val="0"/>
              <w:rPr>
                <w:rFonts w:hint="default"/>
                <w:color w:val="auto"/>
              </w:rPr>
            </w:pPr>
          </w:p>
        </w:tc>
        <w:tc>
          <w:tcPr>
            <w:tcW w:w="1103" w:type="dxa"/>
            <w:shd w:val="clear" w:color="auto" w:fill="auto"/>
            <w:vAlign w:val="center"/>
          </w:tcPr>
          <w:p w14:paraId="66650812">
            <w:pPr>
              <w:pStyle w:val="45"/>
              <w:bidi w:val="0"/>
              <w:rPr>
                <w:rFonts w:hint="default"/>
                <w:color w:val="auto"/>
              </w:rPr>
            </w:pPr>
            <w:r>
              <w:rPr>
                <w:rFonts w:hint="eastAsia"/>
                <w:color w:val="auto"/>
                <w:lang w:val="en-US" w:eastAsia="zh-CN"/>
              </w:rPr>
              <w:t>3</w:t>
            </w:r>
          </w:p>
        </w:tc>
        <w:tc>
          <w:tcPr>
            <w:tcW w:w="555" w:type="pct"/>
            <w:shd w:val="clear" w:color="auto" w:fill="auto"/>
            <w:vAlign w:val="center"/>
          </w:tcPr>
          <w:p w14:paraId="0C4C212F">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3C93217B">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28EBCDF5">
            <w:pPr>
              <w:pStyle w:val="45"/>
              <w:bidi w:val="0"/>
              <w:rPr>
                <w:rFonts w:hint="default"/>
                <w:color w:val="auto"/>
                <w:lang w:val="en-US" w:eastAsia="en-US"/>
              </w:rPr>
            </w:pPr>
            <w:r>
              <w:rPr>
                <w:rFonts w:hint="eastAsia"/>
                <w:color w:val="auto"/>
                <w:lang w:val="en-US" w:eastAsia="zh-CN"/>
              </w:rPr>
              <w:t>ND</w:t>
            </w:r>
          </w:p>
        </w:tc>
        <w:tc>
          <w:tcPr>
            <w:tcW w:w="556" w:type="pct"/>
            <w:shd w:val="clear" w:color="auto" w:fill="auto"/>
            <w:vAlign w:val="center"/>
          </w:tcPr>
          <w:p w14:paraId="50475904">
            <w:pPr>
              <w:pStyle w:val="45"/>
              <w:bidi w:val="0"/>
              <w:rPr>
                <w:rFonts w:hint="default"/>
                <w:color w:val="auto"/>
                <w:lang w:val="en-US" w:eastAsia="en-US"/>
              </w:rPr>
            </w:pPr>
            <w:r>
              <w:rPr>
                <w:rFonts w:hint="eastAsia"/>
                <w:color w:val="auto"/>
                <w:lang w:val="en-US" w:eastAsia="zh-CN"/>
              </w:rPr>
              <w:t>ND</w:t>
            </w:r>
          </w:p>
        </w:tc>
        <w:tc>
          <w:tcPr>
            <w:tcW w:w="506" w:type="pct"/>
            <w:vMerge w:val="continue"/>
            <w:vAlign w:val="center"/>
          </w:tcPr>
          <w:p w14:paraId="655F6D47">
            <w:pPr>
              <w:pStyle w:val="45"/>
              <w:bidi w:val="0"/>
              <w:rPr>
                <w:rFonts w:hint="default"/>
                <w:color w:val="auto"/>
              </w:rPr>
            </w:pPr>
          </w:p>
        </w:tc>
      </w:tr>
      <w:tr w14:paraId="426F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vAlign w:val="center"/>
          </w:tcPr>
          <w:p w14:paraId="2B19BD9D">
            <w:pPr>
              <w:pStyle w:val="45"/>
              <w:bidi w:val="0"/>
              <w:rPr>
                <w:rFonts w:hint="eastAsia"/>
                <w:color w:val="auto"/>
                <w:lang w:val="en-US" w:eastAsia="zh-CN"/>
              </w:rPr>
            </w:pPr>
            <w:r>
              <w:rPr>
                <w:rFonts w:hint="eastAsia"/>
                <w:color w:val="auto"/>
                <w:lang w:val="en-US" w:eastAsia="zh-CN"/>
              </w:rPr>
              <w:t>丙酮</w:t>
            </w:r>
          </w:p>
        </w:tc>
        <w:tc>
          <w:tcPr>
            <w:tcW w:w="641" w:type="pct"/>
            <w:vMerge w:val="restart"/>
            <w:shd w:val="clear" w:color="auto" w:fill="auto"/>
            <w:vAlign w:val="center"/>
          </w:tcPr>
          <w:p w14:paraId="4AE88532">
            <w:pPr>
              <w:pStyle w:val="45"/>
              <w:bidi w:val="0"/>
              <w:rPr>
                <w:rFonts w:hint="default"/>
                <w:color w:val="auto"/>
                <w:lang w:val="en-US" w:eastAsia="zh-CN"/>
              </w:rPr>
            </w:pPr>
            <w:r>
              <w:rPr>
                <w:rFonts w:hint="eastAsia"/>
                <w:color w:val="auto"/>
                <w:lang w:val="en-US" w:eastAsia="zh-CN"/>
              </w:rPr>
              <w:t>2024.11.22</w:t>
            </w:r>
          </w:p>
        </w:tc>
        <w:tc>
          <w:tcPr>
            <w:tcW w:w="1103" w:type="dxa"/>
            <w:shd w:val="clear" w:color="auto" w:fill="auto"/>
            <w:vAlign w:val="center"/>
          </w:tcPr>
          <w:p w14:paraId="477991B6">
            <w:pPr>
              <w:pStyle w:val="45"/>
              <w:bidi w:val="0"/>
              <w:rPr>
                <w:rFonts w:hint="default"/>
                <w:color w:val="auto"/>
                <w:lang w:val="en-US" w:eastAsia="zh-CN"/>
              </w:rPr>
            </w:pPr>
            <w:r>
              <w:rPr>
                <w:rFonts w:hint="eastAsia"/>
                <w:color w:val="auto"/>
                <w:lang w:val="en-US" w:eastAsia="zh-CN"/>
              </w:rPr>
              <w:t>1</w:t>
            </w:r>
          </w:p>
        </w:tc>
        <w:tc>
          <w:tcPr>
            <w:tcW w:w="555" w:type="pct"/>
            <w:shd w:val="clear" w:color="auto" w:fill="auto"/>
            <w:vAlign w:val="center"/>
          </w:tcPr>
          <w:p w14:paraId="0F165CC7">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478BB7D8">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2753E5D2">
            <w:pPr>
              <w:pStyle w:val="45"/>
              <w:bidi w:val="0"/>
              <w:rPr>
                <w:rFonts w:hint="default"/>
                <w:color w:val="auto"/>
                <w:lang w:val="en-US" w:eastAsia="en-US"/>
              </w:rPr>
            </w:pPr>
            <w:r>
              <w:rPr>
                <w:rFonts w:hint="eastAsia"/>
                <w:color w:val="auto"/>
                <w:lang w:val="en-US" w:eastAsia="zh-CN"/>
              </w:rPr>
              <w:t>ND</w:t>
            </w:r>
          </w:p>
        </w:tc>
        <w:tc>
          <w:tcPr>
            <w:tcW w:w="556" w:type="pct"/>
            <w:shd w:val="clear" w:color="auto" w:fill="auto"/>
            <w:vAlign w:val="center"/>
          </w:tcPr>
          <w:p w14:paraId="5CD04A74">
            <w:pPr>
              <w:pStyle w:val="45"/>
              <w:bidi w:val="0"/>
              <w:rPr>
                <w:rFonts w:hint="default"/>
                <w:color w:val="auto"/>
                <w:lang w:val="en-US" w:eastAsia="en-US"/>
              </w:rPr>
            </w:pPr>
            <w:r>
              <w:rPr>
                <w:rFonts w:hint="eastAsia"/>
                <w:color w:val="auto"/>
                <w:lang w:val="en-US" w:eastAsia="zh-CN"/>
              </w:rPr>
              <w:t>ND</w:t>
            </w:r>
          </w:p>
        </w:tc>
        <w:tc>
          <w:tcPr>
            <w:tcW w:w="506" w:type="pct"/>
            <w:vMerge w:val="restart"/>
            <w:vAlign w:val="center"/>
          </w:tcPr>
          <w:p w14:paraId="443ED6D5">
            <w:pPr>
              <w:pStyle w:val="45"/>
              <w:bidi w:val="0"/>
              <w:rPr>
                <w:rFonts w:hint="default"/>
                <w:color w:val="auto"/>
                <w:lang w:val="en-US" w:eastAsia="zh-CN"/>
              </w:rPr>
            </w:pPr>
            <w:r>
              <w:rPr>
                <w:rFonts w:hint="eastAsia"/>
                <w:color w:val="auto"/>
                <w:lang w:val="en-US" w:eastAsia="zh-CN"/>
              </w:rPr>
              <w:t>0.80</w:t>
            </w:r>
          </w:p>
        </w:tc>
      </w:tr>
      <w:tr w14:paraId="7E3E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74657AAC">
            <w:pPr>
              <w:pStyle w:val="45"/>
              <w:bidi w:val="0"/>
              <w:rPr>
                <w:rFonts w:hint="default"/>
                <w:color w:val="auto"/>
              </w:rPr>
            </w:pPr>
          </w:p>
        </w:tc>
        <w:tc>
          <w:tcPr>
            <w:tcW w:w="641" w:type="pct"/>
            <w:vMerge w:val="continue"/>
            <w:shd w:val="clear" w:color="auto" w:fill="auto"/>
            <w:vAlign w:val="center"/>
          </w:tcPr>
          <w:p w14:paraId="79D0BF90">
            <w:pPr>
              <w:pStyle w:val="45"/>
              <w:bidi w:val="0"/>
              <w:rPr>
                <w:rFonts w:hint="default"/>
                <w:color w:val="auto"/>
                <w:lang w:val="en-US" w:eastAsia="zh-CN"/>
              </w:rPr>
            </w:pPr>
          </w:p>
        </w:tc>
        <w:tc>
          <w:tcPr>
            <w:tcW w:w="1103" w:type="dxa"/>
            <w:shd w:val="clear" w:color="auto" w:fill="auto"/>
            <w:vAlign w:val="center"/>
          </w:tcPr>
          <w:p w14:paraId="27CA7B23">
            <w:pPr>
              <w:pStyle w:val="45"/>
              <w:bidi w:val="0"/>
              <w:rPr>
                <w:rFonts w:hint="default"/>
                <w:color w:val="auto"/>
                <w:lang w:val="en-US" w:eastAsia="zh-CN"/>
              </w:rPr>
            </w:pPr>
            <w:r>
              <w:rPr>
                <w:rFonts w:hint="eastAsia"/>
                <w:color w:val="auto"/>
                <w:lang w:val="en-US" w:eastAsia="zh-CN"/>
              </w:rPr>
              <w:t>2</w:t>
            </w:r>
          </w:p>
        </w:tc>
        <w:tc>
          <w:tcPr>
            <w:tcW w:w="555" w:type="pct"/>
            <w:shd w:val="clear" w:color="auto" w:fill="auto"/>
            <w:vAlign w:val="center"/>
          </w:tcPr>
          <w:p w14:paraId="7ABAE3EA">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1E6A8A03">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36F2AE84">
            <w:pPr>
              <w:pStyle w:val="45"/>
              <w:bidi w:val="0"/>
              <w:rPr>
                <w:rFonts w:hint="default"/>
                <w:color w:val="auto"/>
                <w:lang w:val="en-US" w:eastAsia="en-US"/>
              </w:rPr>
            </w:pPr>
            <w:r>
              <w:rPr>
                <w:rFonts w:hint="eastAsia"/>
                <w:color w:val="auto"/>
                <w:lang w:val="en-US" w:eastAsia="zh-CN"/>
              </w:rPr>
              <w:t>ND</w:t>
            </w:r>
          </w:p>
        </w:tc>
        <w:tc>
          <w:tcPr>
            <w:tcW w:w="556" w:type="pct"/>
            <w:shd w:val="clear" w:color="auto" w:fill="auto"/>
            <w:vAlign w:val="center"/>
          </w:tcPr>
          <w:p w14:paraId="73ADFC41">
            <w:pPr>
              <w:pStyle w:val="45"/>
              <w:bidi w:val="0"/>
              <w:rPr>
                <w:rFonts w:hint="default"/>
                <w:color w:val="auto"/>
                <w:lang w:val="en-US" w:eastAsia="en-US"/>
              </w:rPr>
            </w:pPr>
            <w:r>
              <w:rPr>
                <w:rFonts w:hint="eastAsia"/>
                <w:color w:val="auto"/>
                <w:lang w:val="en-US" w:eastAsia="zh-CN"/>
              </w:rPr>
              <w:t>ND</w:t>
            </w:r>
          </w:p>
        </w:tc>
        <w:tc>
          <w:tcPr>
            <w:tcW w:w="506" w:type="pct"/>
            <w:vMerge w:val="continue"/>
            <w:vAlign w:val="center"/>
          </w:tcPr>
          <w:p w14:paraId="70706FA4">
            <w:pPr>
              <w:pStyle w:val="45"/>
              <w:bidi w:val="0"/>
              <w:rPr>
                <w:rFonts w:hint="default"/>
                <w:color w:val="auto"/>
              </w:rPr>
            </w:pPr>
          </w:p>
        </w:tc>
      </w:tr>
      <w:tr w14:paraId="0400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vAlign w:val="center"/>
          </w:tcPr>
          <w:p w14:paraId="08CCD350">
            <w:pPr>
              <w:pStyle w:val="45"/>
              <w:bidi w:val="0"/>
              <w:rPr>
                <w:rFonts w:hint="default"/>
                <w:color w:val="auto"/>
              </w:rPr>
            </w:pPr>
          </w:p>
        </w:tc>
        <w:tc>
          <w:tcPr>
            <w:tcW w:w="641" w:type="pct"/>
            <w:vMerge w:val="continue"/>
            <w:shd w:val="clear" w:color="auto" w:fill="auto"/>
            <w:vAlign w:val="center"/>
          </w:tcPr>
          <w:p w14:paraId="749D10EE">
            <w:pPr>
              <w:pStyle w:val="45"/>
              <w:bidi w:val="0"/>
              <w:rPr>
                <w:rFonts w:hint="default"/>
                <w:color w:val="auto"/>
                <w:lang w:val="en-US" w:eastAsia="zh-CN"/>
              </w:rPr>
            </w:pPr>
          </w:p>
        </w:tc>
        <w:tc>
          <w:tcPr>
            <w:tcW w:w="1103" w:type="dxa"/>
            <w:shd w:val="clear" w:color="auto" w:fill="auto"/>
            <w:vAlign w:val="center"/>
          </w:tcPr>
          <w:p w14:paraId="2BB5BE0E">
            <w:pPr>
              <w:pStyle w:val="45"/>
              <w:bidi w:val="0"/>
              <w:rPr>
                <w:rFonts w:hint="default"/>
                <w:color w:val="auto"/>
                <w:lang w:val="en-US" w:eastAsia="zh-CN"/>
              </w:rPr>
            </w:pPr>
            <w:r>
              <w:rPr>
                <w:rFonts w:hint="eastAsia"/>
                <w:color w:val="auto"/>
                <w:lang w:val="en-US" w:eastAsia="zh-CN"/>
              </w:rPr>
              <w:t>3</w:t>
            </w:r>
          </w:p>
        </w:tc>
        <w:tc>
          <w:tcPr>
            <w:tcW w:w="555" w:type="pct"/>
            <w:shd w:val="clear" w:color="auto" w:fill="auto"/>
            <w:vAlign w:val="center"/>
          </w:tcPr>
          <w:p w14:paraId="59FDDF05">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09D68D2D">
            <w:pPr>
              <w:pStyle w:val="45"/>
              <w:bidi w:val="0"/>
              <w:rPr>
                <w:rFonts w:hint="default"/>
                <w:color w:val="auto"/>
                <w:lang w:val="en-US" w:eastAsia="en-US"/>
              </w:rPr>
            </w:pPr>
            <w:r>
              <w:rPr>
                <w:rFonts w:hint="eastAsia"/>
                <w:color w:val="auto"/>
                <w:lang w:val="en-US" w:eastAsia="zh-CN"/>
              </w:rPr>
              <w:t>ND</w:t>
            </w:r>
          </w:p>
        </w:tc>
        <w:tc>
          <w:tcPr>
            <w:tcW w:w="555" w:type="pct"/>
            <w:shd w:val="clear" w:color="auto" w:fill="auto"/>
            <w:vAlign w:val="center"/>
          </w:tcPr>
          <w:p w14:paraId="3ABDA129">
            <w:pPr>
              <w:pStyle w:val="45"/>
              <w:bidi w:val="0"/>
              <w:rPr>
                <w:rFonts w:hint="default"/>
                <w:color w:val="auto"/>
                <w:lang w:val="en-US" w:eastAsia="en-US"/>
              </w:rPr>
            </w:pPr>
            <w:r>
              <w:rPr>
                <w:rFonts w:hint="eastAsia"/>
                <w:color w:val="auto"/>
                <w:lang w:val="en-US" w:eastAsia="zh-CN"/>
              </w:rPr>
              <w:t>ND</w:t>
            </w:r>
          </w:p>
        </w:tc>
        <w:tc>
          <w:tcPr>
            <w:tcW w:w="556" w:type="pct"/>
            <w:shd w:val="clear" w:color="auto" w:fill="auto"/>
            <w:vAlign w:val="center"/>
          </w:tcPr>
          <w:p w14:paraId="3E322D07">
            <w:pPr>
              <w:pStyle w:val="45"/>
              <w:bidi w:val="0"/>
              <w:rPr>
                <w:rFonts w:hint="default"/>
                <w:color w:val="auto"/>
                <w:lang w:val="en-US" w:eastAsia="en-US"/>
              </w:rPr>
            </w:pPr>
            <w:r>
              <w:rPr>
                <w:rFonts w:hint="eastAsia"/>
                <w:color w:val="auto"/>
                <w:lang w:val="en-US" w:eastAsia="zh-CN"/>
              </w:rPr>
              <w:t>ND</w:t>
            </w:r>
          </w:p>
        </w:tc>
        <w:tc>
          <w:tcPr>
            <w:tcW w:w="506" w:type="pct"/>
            <w:vMerge w:val="continue"/>
            <w:vAlign w:val="center"/>
          </w:tcPr>
          <w:p w14:paraId="751397AA">
            <w:pPr>
              <w:pStyle w:val="45"/>
              <w:bidi w:val="0"/>
              <w:rPr>
                <w:rFonts w:hint="default"/>
                <w:color w:val="auto"/>
              </w:rPr>
            </w:pPr>
          </w:p>
        </w:tc>
      </w:tr>
    </w:tbl>
    <w:p w14:paraId="19E652D6">
      <w:pPr>
        <w:bidi w:val="0"/>
        <w:rPr>
          <w:rFonts w:hint="eastAsia"/>
          <w:color w:val="auto"/>
          <w:lang w:eastAsia="zh-CN"/>
        </w:rPr>
      </w:pPr>
      <w:r>
        <w:rPr>
          <w:rFonts w:hint="default"/>
          <w:color w:val="auto"/>
        </w:rPr>
        <w:t>监测期内，</w:t>
      </w:r>
      <w:r>
        <w:rPr>
          <w:rFonts w:hint="default"/>
          <w:color w:val="auto"/>
          <w:lang w:val="en-US" w:eastAsia="zh-CN"/>
        </w:rPr>
        <w:t>各点位</w:t>
      </w:r>
      <w:r>
        <w:rPr>
          <w:rFonts w:hint="eastAsia"/>
          <w:color w:val="auto"/>
          <w:lang w:val="en-US" w:eastAsia="zh-CN"/>
        </w:rPr>
        <w:t>颗粒物、非甲烷总烃、甲醇、四氯乙烯、氯化氢检出浓度符合《大气污染物综合排放标准》(DB32/4041-2021)表3；臭气浓度、丙酮检出浓度</w:t>
      </w:r>
      <w:r>
        <w:rPr>
          <w:rFonts w:hint="default"/>
          <w:color w:val="auto"/>
          <w:lang w:val="en-US" w:eastAsia="zh-CN"/>
        </w:rPr>
        <w:t>符合《化学工业挥发性有机物排放标准》(DB32/3151-2016)</w:t>
      </w:r>
      <w:r>
        <w:rPr>
          <w:rFonts w:hint="eastAsia"/>
          <w:color w:val="auto"/>
          <w:lang w:val="en-US" w:eastAsia="zh-CN"/>
        </w:rPr>
        <w:t>表2</w:t>
      </w:r>
      <w:r>
        <w:rPr>
          <w:rFonts w:hint="eastAsia"/>
          <w:color w:val="auto"/>
          <w:lang w:eastAsia="zh-CN"/>
        </w:rPr>
        <w:t>。</w:t>
      </w:r>
    </w:p>
    <w:p w14:paraId="3CE3A537">
      <w:pPr>
        <w:numPr>
          <w:ilvl w:val="0"/>
          <w:numId w:val="10"/>
        </w:num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地下水质量现状</w:t>
      </w:r>
    </w:p>
    <w:p w14:paraId="5FDA0161">
      <w:pPr>
        <w:numPr>
          <w:ilvl w:val="0"/>
          <w:numId w:val="0"/>
        </w:numPr>
        <w:bidi w:val="0"/>
        <w:ind w:firstLine="480" w:firstLineChars="200"/>
        <w:rPr>
          <w:rFonts w:hint="eastAsia" w:cs="Times New Roman"/>
          <w:color w:val="auto"/>
          <w:lang w:val="en-US" w:eastAsia="zh-CN"/>
        </w:rPr>
      </w:pPr>
      <w:r>
        <w:rPr>
          <w:rFonts w:hint="eastAsia" w:cs="Times New Roman"/>
          <w:color w:val="auto"/>
          <w:lang w:val="en-US" w:eastAsia="zh-CN"/>
        </w:rPr>
        <w:t>根据企业2024年地下水检测数据（</w:t>
      </w:r>
      <w:r>
        <w:rPr>
          <w:rFonts w:hint="default" w:ascii="Times New Roman" w:hAnsi="Times New Roman" w:cs="Times New Roman"/>
          <w:color w:val="auto"/>
          <w:highlight w:val="none"/>
          <w:lang w:val="en-US" w:eastAsia="zh-CN"/>
        </w:rPr>
        <w:t>监测单位：</w:t>
      </w:r>
      <w:r>
        <w:rPr>
          <w:rFonts w:hint="eastAsia" w:cs="Times New Roman"/>
          <w:color w:val="auto"/>
          <w:lang w:val="en-US" w:eastAsia="zh-CN"/>
        </w:rPr>
        <w:t>苏州国诚检测技术有限公司；</w:t>
      </w:r>
      <w:r>
        <w:rPr>
          <w:rFonts w:hint="default" w:ascii="Times New Roman" w:hAnsi="Times New Roman" w:cs="Times New Roman"/>
          <w:color w:val="auto"/>
          <w:highlight w:val="none"/>
          <w:lang w:val="en-US" w:eastAsia="zh-CN"/>
        </w:rPr>
        <w:t>报告编号：</w:t>
      </w:r>
      <w:r>
        <w:rPr>
          <w:rFonts w:hint="eastAsia" w:cs="Times New Roman"/>
          <w:color w:val="auto"/>
          <w:lang w:val="en-US" w:eastAsia="zh-CN"/>
        </w:rPr>
        <w:t>环检-E2408517、环检-E2408518；</w:t>
      </w:r>
      <w:r>
        <w:rPr>
          <w:rFonts w:hint="default" w:ascii="Times New Roman" w:hAnsi="Times New Roman" w:cs="Times New Roman"/>
          <w:color w:val="auto"/>
          <w:highlight w:val="none"/>
          <w:lang w:val="en-US" w:eastAsia="zh-CN"/>
        </w:rPr>
        <w:t>监测时间2024年</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月</w:t>
      </w:r>
      <w:r>
        <w:rPr>
          <w:rFonts w:hint="eastAsia" w:cs="Times New Roman"/>
          <w:color w:val="auto"/>
          <w:lang w:val="en-US" w:eastAsia="zh-CN"/>
        </w:rPr>
        <w:t>）。</w:t>
      </w:r>
    </w:p>
    <w:p w14:paraId="6D56EF9F">
      <w:pPr>
        <w:numPr>
          <w:ilvl w:val="0"/>
          <w:numId w:val="0"/>
        </w:numPr>
        <w:bidi w:val="0"/>
        <w:jc w:val="center"/>
        <w:rPr>
          <w:color w:val="auto"/>
        </w:rPr>
      </w:pPr>
      <w:r>
        <w:drawing>
          <wp:inline distT="0" distB="0" distL="114300" distR="114300">
            <wp:extent cx="5272405" cy="4013835"/>
            <wp:effectExtent l="9525" t="9525" r="13970" b="1524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44"/>
                    <a:stretch>
                      <a:fillRect/>
                    </a:stretch>
                  </pic:blipFill>
                  <pic:spPr>
                    <a:xfrm>
                      <a:off x="0" y="0"/>
                      <a:ext cx="5272405" cy="4013835"/>
                    </a:xfrm>
                    <a:prstGeom prst="rect">
                      <a:avLst/>
                    </a:prstGeom>
                    <a:noFill/>
                    <a:ln>
                      <a:solidFill>
                        <a:schemeClr val="tx1"/>
                      </a:solidFill>
                    </a:ln>
                  </pic:spPr>
                </pic:pic>
              </a:graphicData>
            </a:graphic>
          </wp:inline>
        </w:drawing>
      </w:r>
    </w:p>
    <w:p w14:paraId="40BB83AD">
      <w:pPr>
        <w:pStyle w:val="47"/>
        <w:bidi w:val="0"/>
        <w:rPr>
          <w:rFonts w:hint="eastAsia"/>
          <w:color w:val="auto"/>
          <w:lang w:val="en-US" w:eastAsia="zh-CN"/>
        </w:rPr>
      </w:pPr>
      <w:r>
        <w:rPr>
          <w:rFonts w:hint="default"/>
          <w:color w:val="auto"/>
        </w:rPr>
        <w:t>图</w:t>
      </w:r>
      <w:r>
        <w:rPr>
          <w:rFonts w:hint="eastAsia"/>
          <w:color w:val="auto"/>
          <w:lang w:val="en-US" w:eastAsia="zh-CN"/>
        </w:rPr>
        <w:t xml:space="preserve"> 2.5-2</w:t>
      </w:r>
      <w:r>
        <w:rPr>
          <w:rFonts w:hint="default"/>
          <w:color w:val="auto"/>
        </w:rPr>
        <w:t xml:space="preserve"> </w:t>
      </w:r>
      <w:r>
        <w:rPr>
          <w:rFonts w:hint="eastAsia"/>
          <w:color w:val="auto"/>
          <w:lang w:val="en-US" w:eastAsia="zh-CN"/>
        </w:rPr>
        <w:t>地下水</w:t>
      </w:r>
      <w:r>
        <w:rPr>
          <w:rFonts w:hint="default"/>
          <w:color w:val="auto"/>
        </w:rPr>
        <w:t>监测布点图</w:t>
      </w:r>
    </w:p>
    <w:p w14:paraId="09331A92">
      <w:pPr>
        <w:numPr>
          <w:ilvl w:val="0"/>
          <w:numId w:val="0"/>
        </w:numPr>
        <w:bidi w:val="0"/>
        <w:ind w:firstLine="480" w:firstLineChars="200"/>
        <w:rPr>
          <w:rFonts w:hint="eastAsia" w:cs="Times New Roman"/>
          <w:color w:val="auto"/>
          <w:lang w:val="en-US" w:eastAsia="zh-CN"/>
        </w:rPr>
      </w:pPr>
      <w:r>
        <w:rPr>
          <w:rFonts w:hint="eastAsia" w:cs="Times New Roman"/>
          <w:color w:val="auto"/>
          <w:lang w:val="en-US" w:eastAsia="zh-CN"/>
        </w:rPr>
        <w:t>检测指标为：</w:t>
      </w:r>
    </w:p>
    <w:p w14:paraId="0BBC8D51">
      <w:pPr>
        <w:numPr>
          <w:ilvl w:val="0"/>
          <w:numId w:val="0"/>
        </w:numPr>
        <w:bidi w:val="0"/>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常规指标：色、嗅和味、肉眼可见物、浑浊度、pH值、总硬度（以CaCO3计）、溶解性总固体、硫酸盐（SO42-）、氯化物（Cl-）、铁、锰、铜、锌、铝、挥发酚、阴离子表面活性剂、高锰酸盐指数、氨氮、硫化物、钠、硝酸盐氮（NO3-）、亚硝酸盐氮（NO2-）、总氰化物、氟化物（F-）、砷、汞、硒、镉、六价铬、铅、氯仿、四氯化碳、苯、甲苯</w:t>
      </w:r>
    </w:p>
    <w:p w14:paraId="58865FB3">
      <w:pPr>
        <w:numPr>
          <w:ilvl w:val="0"/>
          <w:numId w:val="0"/>
        </w:numPr>
        <w:bidi w:val="0"/>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其他项目：锑、可萃取性石油烃（C10~C40）、氯乙烯、1,1-二氯乙烯、二氯甲烷、反式-1,2-二氯乙烯、1,1-二氯乙烷、顺式-1,2-二氯乙烯、1,1,1-三氯乙烷、1,2-二氯乙烷、三氯乙烯、1,2-二氯丙烷、1,1,2-三氯乙烷、四氯乙烯、氯苯、1,1,1,2-四氯乙烷、乙苯、间，对二甲苯、邻二甲苯、苯乙烯、1,1,2,2-四氯乙烷、1,2,3-三氯丙烷、1,4-二氯苯、1.2-二氯苯、2-氯苯酚、硝基苯、萘、苯并（a）蒽、䓛、苯并（b）荧蒽、苯并（k）荧蒽、苯并（a）芘、茚并（1,2,3-cd）芘、二苯并（ah）蒽、苯胺、氯甲烷</w:t>
      </w:r>
    </w:p>
    <w:p w14:paraId="63192ADF">
      <w:pPr>
        <w:numPr>
          <w:ilvl w:val="0"/>
          <w:numId w:val="0"/>
        </w:numPr>
        <w:bidi w:val="0"/>
        <w:ind w:firstLine="480" w:firstLineChars="200"/>
        <w:rPr>
          <w:rFonts w:hint="eastAsia" w:cs="Times New Roman"/>
          <w:color w:val="auto"/>
          <w:lang w:val="en-US" w:eastAsia="zh-CN"/>
        </w:rPr>
        <w:sectPr>
          <w:pgSz w:w="11906" w:h="16838"/>
          <w:pgMar w:top="1440" w:right="1797" w:bottom="1440" w:left="1797" w:header="851" w:footer="992" w:gutter="0"/>
          <w:pgNumType w:fmt="decimal"/>
          <w:cols w:space="425" w:num="1"/>
          <w:docGrid w:type="lines" w:linePitch="312" w:charSpace="0"/>
        </w:sectPr>
      </w:pPr>
      <w:r>
        <w:rPr>
          <w:rFonts w:hint="eastAsia" w:cs="Times New Roman"/>
          <w:color w:val="auto"/>
          <w:lang w:val="en-US" w:eastAsia="zh-CN"/>
        </w:rPr>
        <w:t>地下水监测结果见下表。</w:t>
      </w:r>
    </w:p>
    <w:p w14:paraId="555AD47A">
      <w:pPr>
        <w:pStyle w:val="46"/>
        <w:bidi w:val="0"/>
        <w:rPr>
          <w:rFonts w:hint="default"/>
          <w:color w:val="auto"/>
          <w:lang w:val="en-US" w:eastAsia="zh-CN"/>
        </w:rPr>
      </w:pPr>
      <w:r>
        <w:rPr>
          <w:rFonts w:hint="eastAsia"/>
          <w:color w:val="auto"/>
          <w:lang w:val="en-US" w:eastAsia="zh-CN"/>
        </w:rPr>
        <w:t>表 2.5-2 地下水监测结果（表中只列出检出项）</w:t>
      </w:r>
    </w:p>
    <w:tbl>
      <w:tblPr>
        <w:tblStyle w:val="30"/>
        <w:tblW w:w="16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7"/>
        <w:gridCol w:w="975"/>
        <w:gridCol w:w="1555"/>
        <w:gridCol w:w="1064"/>
        <w:gridCol w:w="947"/>
        <w:gridCol w:w="1184"/>
        <w:gridCol w:w="1185"/>
        <w:gridCol w:w="1185"/>
        <w:gridCol w:w="1185"/>
        <w:gridCol w:w="1185"/>
        <w:gridCol w:w="1185"/>
        <w:gridCol w:w="1185"/>
        <w:gridCol w:w="1185"/>
      </w:tblGrid>
      <w:tr w14:paraId="17A3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7" w:type="dxa"/>
            <w:vAlign w:val="center"/>
          </w:tcPr>
          <w:p w14:paraId="5492AB9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检测项目</w:t>
            </w:r>
          </w:p>
        </w:tc>
        <w:tc>
          <w:tcPr>
            <w:tcW w:w="975" w:type="dxa"/>
            <w:vAlign w:val="center"/>
          </w:tcPr>
          <w:p w14:paraId="4AC77BA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w:t>
            </w:r>
          </w:p>
        </w:tc>
        <w:tc>
          <w:tcPr>
            <w:tcW w:w="1555" w:type="dxa"/>
            <w:vAlign w:val="center"/>
          </w:tcPr>
          <w:p w14:paraId="597A44EB">
            <w:pPr>
              <w:pStyle w:val="45"/>
              <w:bidi w:val="0"/>
              <w:rPr>
                <w:rFonts w:hint="default" w:ascii="Times New Roman" w:hAnsi="Times New Roman" w:cs="Times New Roman"/>
                <w:color w:val="auto"/>
                <w:lang w:val="en-US" w:eastAsia="zh-CN"/>
              </w:rPr>
            </w:pPr>
            <w:r>
              <w:rPr>
                <w:rFonts w:hint="eastAsia" w:cs="Times New Roman"/>
                <w:color w:val="auto"/>
                <w:lang w:val="en-US" w:eastAsia="zh-CN"/>
              </w:rPr>
              <w:t>参考标准</w:t>
            </w:r>
          </w:p>
        </w:tc>
        <w:tc>
          <w:tcPr>
            <w:tcW w:w="1064" w:type="dxa"/>
            <w:vAlign w:val="center"/>
          </w:tcPr>
          <w:p w14:paraId="15BE2A9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D1</w:t>
            </w:r>
          </w:p>
        </w:tc>
        <w:tc>
          <w:tcPr>
            <w:tcW w:w="947" w:type="dxa"/>
            <w:vAlign w:val="center"/>
          </w:tcPr>
          <w:p w14:paraId="22BB92E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D2</w:t>
            </w:r>
          </w:p>
        </w:tc>
        <w:tc>
          <w:tcPr>
            <w:tcW w:w="1184" w:type="dxa"/>
            <w:vAlign w:val="center"/>
          </w:tcPr>
          <w:p w14:paraId="2C30701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D3</w:t>
            </w:r>
          </w:p>
        </w:tc>
        <w:tc>
          <w:tcPr>
            <w:tcW w:w="1185" w:type="dxa"/>
            <w:vAlign w:val="center"/>
          </w:tcPr>
          <w:p w14:paraId="2BED3CB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D4</w:t>
            </w:r>
          </w:p>
        </w:tc>
        <w:tc>
          <w:tcPr>
            <w:tcW w:w="1185" w:type="dxa"/>
            <w:vAlign w:val="center"/>
          </w:tcPr>
          <w:p w14:paraId="4A37706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D5</w:t>
            </w:r>
          </w:p>
        </w:tc>
        <w:tc>
          <w:tcPr>
            <w:tcW w:w="1185" w:type="dxa"/>
            <w:vAlign w:val="center"/>
          </w:tcPr>
          <w:p w14:paraId="52268B8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D6</w:t>
            </w:r>
          </w:p>
        </w:tc>
        <w:tc>
          <w:tcPr>
            <w:tcW w:w="1185" w:type="dxa"/>
            <w:vAlign w:val="center"/>
          </w:tcPr>
          <w:p w14:paraId="061E76A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D7</w:t>
            </w:r>
          </w:p>
        </w:tc>
        <w:tc>
          <w:tcPr>
            <w:tcW w:w="1185" w:type="dxa"/>
            <w:vAlign w:val="center"/>
          </w:tcPr>
          <w:p w14:paraId="7BB76EA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D8</w:t>
            </w:r>
          </w:p>
        </w:tc>
        <w:tc>
          <w:tcPr>
            <w:tcW w:w="1185" w:type="dxa"/>
            <w:vAlign w:val="center"/>
          </w:tcPr>
          <w:p w14:paraId="3504210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D9</w:t>
            </w:r>
          </w:p>
        </w:tc>
        <w:tc>
          <w:tcPr>
            <w:tcW w:w="1185" w:type="dxa"/>
            <w:vAlign w:val="center"/>
          </w:tcPr>
          <w:p w14:paraId="7027A15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D10</w:t>
            </w:r>
          </w:p>
        </w:tc>
      </w:tr>
      <w:tr w14:paraId="282D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21DE041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PH</w:t>
            </w:r>
          </w:p>
        </w:tc>
        <w:tc>
          <w:tcPr>
            <w:tcW w:w="975" w:type="dxa"/>
            <w:vAlign w:val="center"/>
          </w:tcPr>
          <w:p w14:paraId="51E859E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无量纲</w:t>
            </w:r>
          </w:p>
        </w:tc>
        <w:tc>
          <w:tcPr>
            <w:tcW w:w="1555" w:type="dxa"/>
            <w:vAlign w:val="center"/>
          </w:tcPr>
          <w:p w14:paraId="465A4019">
            <w:pPr>
              <w:pStyle w:val="45"/>
              <w:bidi w:val="0"/>
              <w:rPr>
                <w:rFonts w:hint="eastAsia"/>
                <w:color w:val="auto"/>
                <w:highlight w:val="none"/>
                <w:lang w:val="en-US" w:eastAsia="zh-CN"/>
              </w:rPr>
            </w:pPr>
            <w:r>
              <w:rPr>
                <w:rFonts w:hint="eastAsia"/>
                <w:color w:val="auto"/>
                <w:highlight w:val="none"/>
                <w:lang w:val="en-US" w:eastAsia="zh-CN"/>
              </w:rPr>
              <w:t>5.5≤pH＜6.5</w:t>
            </w:r>
          </w:p>
          <w:p w14:paraId="6A0F5C58">
            <w:pPr>
              <w:pStyle w:val="45"/>
              <w:bidi w:val="0"/>
              <w:rPr>
                <w:rFonts w:hint="default" w:ascii="Times New Roman" w:hAnsi="Times New Roman" w:cs="Times New Roman"/>
                <w:color w:val="auto"/>
                <w:lang w:val="en-US" w:eastAsia="zh-CN"/>
              </w:rPr>
            </w:pPr>
            <w:r>
              <w:rPr>
                <w:rFonts w:hint="eastAsia"/>
                <w:color w:val="auto"/>
                <w:highlight w:val="none"/>
                <w:lang w:val="en-US" w:eastAsia="zh-CN"/>
              </w:rPr>
              <w:t>8.5&lt;pH≤9.0</w:t>
            </w:r>
          </w:p>
        </w:tc>
        <w:tc>
          <w:tcPr>
            <w:tcW w:w="1064" w:type="dxa"/>
            <w:vAlign w:val="center"/>
          </w:tcPr>
          <w:p w14:paraId="575C7DE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7.4</w:t>
            </w:r>
          </w:p>
        </w:tc>
        <w:tc>
          <w:tcPr>
            <w:tcW w:w="947" w:type="dxa"/>
            <w:vAlign w:val="center"/>
          </w:tcPr>
          <w:p w14:paraId="1E560C0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7.5</w:t>
            </w:r>
          </w:p>
        </w:tc>
        <w:tc>
          <w:tcPr>
            <w:tcW w:w="1184" w:type="dxa"/>
            <w:vAlign w:val="center"/>
          </w:tcPr>
          <w:p w14:paraId="0A9219B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7.3</w:t>
            </w:r>
          </w:p>
        </w:tc>
        <w:tc>
          <w:tcPr>
            <w:tcW w:w="1185" w:type="dxa"/>
            <w:vAlign w:val="center"/>
          </w:tcPr>
          <w:p w14:paraId="767EACE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7.3</w:t>
            </w:r>
          </w:p>
        </w:tc>
        <w:tc>
          <w:tcPr>
            <w:tcW w:w="1185" w:type="dxa"/>
            <w:vAlign w:val="center"/>
          </w:tcPr>
          <w:p w14:paraId="5AC1C4C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7.6</w:t>
            </w:r>
          </w:p>
        </w:tc>
        <w:tc>
          <w:tcPr>
            <w:tcW w:w="1185" w:type="dxa"/>
            <w:vAlign w:val="center"/>
          </w:tcPr>
          <w:p w14:paraId="20FC00B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7.7</w:t>
            </w:r>
          </w:p>
        </w:tc>
        <w:tc>
          <w:tcPr>
            <w:tcW w:w="1185" w:type="dxa"/>
            <w:vAlign w:val="center"/>
          </w:tcPr>
          <w:p w14:paraId="587C5E3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7.1</w:t>
            </w:r>
          </w:p>
        </w:tc>
        <w:tc>
          <w:tcPr>
            <w:tcW w:w="1185" w:type="dxa"/>
            <w:vAlign w:val="center"/>
          </w:tcPr>
          <w:p w14:paraId="0A48EF4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7.6</w:t>
            </w:r>
          </w:p>
        </w:tc>
        <w:tc>
          <w:tcPr>
            <w:tcW w:w="1185" w:type="dxa"/>
            <w:vAlign w:val="center"/>
          </w:tcPr>
          <w:p w14:paraId="447617D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w:t>
            </w:r>
          </w:p>
        </w:tc>
        <w:tc>
          <w:tcPr>
            <w:tcW w:w="1185" w:type="dxa"/>
            <w:vAlign w:val="center"/>
          </w:tcPr>
          <w:p w14:paraId="1872E0B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7.4</w:t>
            </w:r>
          </w:p>
        </w:tc>
      </w:tr>
      <w:tr w14:paraId="296A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2133F68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砷</w:t>
            </w:r>
          </w:p>
        </w:tc>
        <w:tc>
          <w:tcPr>
            <w:tcW w:w="975" w:type="dxa"/>
            <w:shd w:val="clear" w:color="auto" w:fill="auto"/>
            <w:vAlign w:val="center"/>
          </w:tcPr>
          <w:p w14:paraId="28F288B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16BECDC1">
            <w:pPr>
              <w:pStyle w:val="45"/>
              <w:bidi w:val="0"/>
              <w:rPr>
                <w:rFonts w:hint="default" w:ascii="Times New Roman" w:hAnsi="Times New Roman" w:cs="Times New Roman"/>
                <w:color w:val="auto"/>
                <w:lang w:val="en-US" w:eastAsia="zh-CN"/>
              </w:rPr>
            </w:pPr>
            <w:r>
              <w:rPr>
                <w:rFonts w:hint="eastAsia" w:cs="Times New Roman"/>
                <w:color w:val="auto"/>
                <w:lang w:val="en-US" w:eastAsia="zh-CN"/>
              </w:rPr>
              <w:t>0.05</w:t>
            </w:r>
          </w:p>
        </w:tc>
        <w:tc>
          <w:tcPr>
            <w:tcW w:w="1064" w:type="dxa"/>
            <w:shd w:val="clear" w:color="auto" w:fill="auto"/>
            <w:vAlign w:val="center"/>
          </w:tcPr>
          <w:p w14:paraId="69A7825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0.0096</w:t>
            </w:r>
          </w:p>
        </w:tc>
        <w:tc>
          <w:tcPr>
            <w:tcW w:w="947" w:type="dxa"/>
            <w:shd w:val="clear" w:color="auto" w:fill="auto"/>
            <w:vAlign w:val="center"/>
          </w:tcPr>
          <w:p w14:paraId="0017FEC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0.0091</w:t>
            </w:r>
          </w:p>
        </w:tc>
        <w:tc>
          <w:tcPr>
            <w:tcW w:w="1184" w:type="dxa"/>
            <w:shd w:val="clear" w:color="auto" w:fill="auto"/>
            <w:vAlign w:val="center"/>
          </w:tcPr>
          <w:p w14:paraId="3AA4FE3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0.0357</w:t>
            </w:r>
          </w:p>
        </w:tc>
        <w:tc>
          <w:tcPr>
            <w:tcW w:w="1185" w:type="dxa"/>
            <w:shd w:val="clear" w:color="auto" w:fill="auto"/>
            <w:vAlign w:val="center"/>
          </w:tcPr>
          <w:p w14:paraId="7DCBA9E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0.0080</w:t>
            </w:r>
          </w:p>
        </w:tc>
        <w:tc>
          <w:tcPr>
            <w:tcW w:w="1185" w:type="dxa"/>
            <w:shd w:val="clear" w:color="auto" w:fill="auto"/>
            <w:vAlign w:val="center"/>
          </w:tcPr>
          <w:p w14:paraId="6D11A69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0.0395</w:t>
            </w:r>
          </w:p>
        </w:tc>
        <w:tc>
          <w:tcPr>
            <w:tcW w:w="1185" w:type="dxa"/>
            <w:shd w:val="clear" w:color="auto" w:fill="auto"/>
            <w:vAlign w:val="center"/>
          </w:tcPr>
          <w:p w14:paraId="655C2FA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0.0057</w:t>
            </w:r>
          </w:p>
        </w:tc>
        <w:tc>
          <w:tcPr>
            <w:tcW w:w="1185" w:type="dxa"/>
            <w:shd w:val="clear" w:color="auto" w:fill="auto"/>
            <w:vAlign w:val="center"/>
          </w:tcPr>
          <w:p w14:paraId="13E4AC1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0.0167</w:t>
            </w:r>
          </w:p>
        </w:tc>
        <w:tc>
          <w:tcPr>
            <w:tcW w:w="1185" w:type="dxa"/>
            <w:shd w:val="clear" w:color="auto" w:fill="auto"/>
            <w:vAlign w:val="center"/>
          </w:tcPr>
          <w:p w14:paraId="5E7DE94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0.0023</w:t>
            </w:r>
          </w:p>
        </w:tc>
        <w:tc>
          <w:tcPr>
            <w:tcW w:w="1185" w:type="dxa"/>
            <w:shd w:val="clear" w:color="auto" w:fill="auto"/>
            <w:vAlign w:val="center"/>
          </w:tcPr>
          <w:p w14:paraId="5289A12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0.0129</w:t>
            </w:r>
          </w:p>
        </w:tc>
        <w:tc>
          <w:tcPr>
            <w:tcW w:w="1185" w:type="dxa"/>
            <w:shd w:val="clear" w:color="auto" w:fill="auto"/>
            <w:vAlign w:val="center"/>
          </w:tcPr>
          <w:p w14:paraId="1E7B3B9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0.0043</w:t>
            </w:r>
          </w:p>
        </w:tc>
      </w:tr>
      <w:tr w14:paraId="42CE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71424E7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汞</w:t>
            </w:r>
          </w:p>
        </w:tc>
        <w:tc>
          <w:tcPr>
            <w:tcW w:w="975" w:type="dxa"/>
            <w:shd w:val="clear" w:color="auto" w:fill="auto"/>
            <w:vAlign w:val="center"/>
          </w:tcPr>
          <w:p w14:paraId="35C00E61">
            <w:pPr>
              <w:pStyle w:val="45"/>
              <w:bidi w:val="0"/>
              <w:rPr>
                <w:rFonts w:hint="default" w:ascii="Times New Roman" w:hAnsi="Times New Roman" w:cs="Times New Roman"/>
                <w:color w:val="auto"/>
              </w:rPr>
            </w:pPr>
            <w:r>
              <w:rPr>
                <w:rFonts w:hint="default" w:ascii="Times New Roman" w:hAnsi="Times New Roman" w:cs="Times New Roman"/>
                <w:color w:val="auto"/>
              </w:rPr>
              <w:t>mg/L</w:t>
            </w:r>
          </w:p>
        </w:tc>
        <w:tc>
          <w:tcPr>
            <w:tcW w:w="1555" w:type="dxa"/>
            <w:shd w:val="clear" w:color="auto" w:fill="auto"/>
            <w:vAlign w:val="center"/>
          </w:tcPr>
          <w:p w14:paraId="78AC35AB">
            <w:pPr>
              <w:pStyle w:val="45"/>
              <w:bidi w:val="0"/>
              <w:rPr>
                <w:rFonts w:hint="default" w:ascii="Times New Roman" w:hAnsi="Times New Roman" w:cs="Times New Roman"/>
                <w:color w:val="auto"/>
                <w:lang w:val="en-US" w:eastAsia="zh-CN"/>
              </w:rPr>
            </w:pPr>
            <w:r>
              <w:rPr>
                <w:rFonts w:hint="eastAsia" w:cs="Times New Roman"/>
                <w:color w:val="auto"/>
                <w:lang w:val="en-US" w:eastAsia="zh-CN"/>
              </w:rPr>
              <w:t>0.002</w:t>
            </w:r>
          </w:p>
        </w:tc>
        <w:tc>
          <w:tcPr>
            <w:tcW w:w="1064" w:type="dxa"/>
            <w:shd w:val="clear" w:color="auto" w:fill="auto"/>
            <w:vAlign w:val="center"/>
          </w:tcPr>
          <w:p w14:paraId="6DC15DE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947" w:type="dxa"/>
            <w:shd w:val="clear" w:color="auto" w:fill="auto"/>
            <w:vAlign w:val="center"/>
          </w:tcPr>
          <w:p w14:paraId="3F4003E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4" w:type="dxa"/>
            <w:shd w:val="clear" w:color="auto" w:fill="auto"/>
            <w:vAlign w:val="center"/>
          </w:tcPr>
          <w:p w14:paraId="6BA4650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7EB38DA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3CFD935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680F1E7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63A1CE1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1AEAECF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7D21951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0.00052</w:t>
            </w:r>
          </w:p>
        </w:tc>
        <w:tc>
          <w:tcPr>
            <w:tcW w:w="1185" w:type="dxa"/>
            <w:shd w:val="clear" w:color="auto" w:fill="auto"/>
            <w:vAlign w:val="center"/>
          </w:tcPr>
          <w:p w14:paraId="6B49D5E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r>
      <w:tr w14:paraId="4F3E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09F8243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锑</w:t>
            </w:r>
          </w:p>
        </w:tc>
        <w:tc>
          <w:tcPr>
            <w:tcW w:w="975" w:type="dxa"/>
            <w:shd w:val="clear" w:color="auto" w:fill="auto"/>
            <w:vAlign w:val="center"/>
          </w:tcPr>
          <w:p w14:paraId="5901A60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220C291F">
            <w:pPr>
              <w:pStyle w:val="45"/>
              <w:bidi w:val="0"/>
              <w:rPr>
                <w:rFonts w:hint="default" w:ascii="Times New Roman" w:hAnsi="Times New Roman" w:cs="Times New Roman"/>
                <w:color w:val="auto"/>
                <w:lang w:val="en-US" w:eastAsia="zh-CN"/>
              </w:rPr>
            </w:pPr>
            <w:r>
              <w:rPr>
                <w:rFonts w:hint="eastAsia" w:cs="Times New Roman"/>
                <w:color w:val="auto"/>
                <w:lang w:val="en-US" w:eastAsia="zh-CN"/>
              </w:rPr>
              <w:t>0.01</w:t>
            </w:r>
          </w:p>
        </w:tc>
        <w:tc>
          <w:tcPr>
            <w:tcW w:w="1064" w:type="dxa"/>
            <w:shd w:val="clear" w:color="auto" w:fill="auto"/>
            <w:vAlign w:val="center"/>
          </w:tcPr>
          <w:p w14:paraId="6929ACE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0.0012</w:t>
            </w:r>
          </w:p>
        </w:tc>
        <w:tc>
          <w:tcPr>
            <w:tcW w:w="947" w:type="dxa"/>
            <w:shd w:val="clear" w:color="auto" w:fill="auto"/>
            <w:vAlign w:val="center"/>
          </w:tcPr>
          <w:p w14:paraId="7BE01D7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0.0009</w:t>
            </w:r>
          </w:p>
        </w:tc>
        <w:tc>
          <w:tcPr>
            <w:tcW w:w="1184" w:type="dxa"/>
            <w:shd w:val="clear" w:color="auto" w:fill="auto"/>
            <w:vAlign w:val="center"/>
          </w:tcPr>
          <w:p w14:paraId="1E3E276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0.0014</w:t>
            </w:r>
          </w:p>
        </w:tc>
        <w:tc>
          <w:tcPr>
            <w:tcW w:w="1185" w:type="dxa"/>
            <w:shd w:val="clear" w:color="auto" w:fill="auto"/>
            <w:vAlign w:val="center"/>
          </w:tcPr>
          <w:p w14:paraId="63C31F8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0.0008</w:t>
            </w:r>
          </w:p>
        </w:tc>
        <w:tc>
          <w:tcPr>
            <w:tcW w:w="1185" w:type="dxa"/>
            <w:shd w:val="clear" w:color="auto" w:fill="auto"/>
            <w:vAlign w:val="center"/>
          </w:tcPr>
          <w:p w14:paraId="5981A59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0.0014</w:t>
            </w:r>
          </w:p>
        </w:tc>
        <w:tc>
          <w:tcPr>
            <w:tcW w:w="1185" w:type="dxa"/>
            <w:shd w:val="clear" w:color="auto" w:fill="auto"/>
            <w:vAlign w:val="center"/>
          </w:tcPr>
          <w:p w14:paraId="6DC5E78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0.0008</w:t>
            </w:r>
          </w:p>
        </w:tc>
        <w:tc>
          <w:tcPr>
            <w:tcW w:w="1185" w:type="dxa"/>
            <w:shd w:val="clear" w:color="auto" w:fill="auto"/>
            <w:vAlign w:val="center"/>
          </w:tcPr>
          <w:p w14:paraId="3A91801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0.0019</w:t>
            </w:r>
          </w:p>
        </w:tc>
        <w:tc>
          <w:tcPr>
            <w:tcW w:w="1185" w:type="dxa"/>
            <w:shd w:val="clear" w:color="auto" w:fill="auto"/>
            <w:vAlign w:val="center"/>
          </w:tcPr>
          <w:p w14:paraId="7C83E41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0.0024</w:t>
            </w:r>
          </w:p>
        </w:tc>
        <w:tc>
          <w:tcPr>
            <w:tcW w:w="1185" w:type="dxa"/>
            <w:shd w:val="clear" w:color="auto" w:fill="auto"/>
            <w:vAlign w:val="center"/>
          </w:tcPr>
          <w:p w14:paraId="6259C15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0.0015</w:t>
            </w:r>
          </w:p>
        </w:tc>
        <w:tc>
          <w:tcPr>
            <w:tcW w:w="1185" w:type="dxa"/>
            <w:shd w:val="clear" w:color="auto" w:fill="auto"/>
            <w:vAlign w:val="center"/>
          </w:tcPr>
          <w:p w14:paraId="42DA61E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0.0018</w:t>
            </w:r>
          </w:p>
        </w:tc>
      </w:tr>
      <w:tr w14:paraId="620C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186ECEB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浑浊度</w:t>
            </w:r>
          </w:p>
        </w:tc>
        <w:tc>
          <w:tcPr>
            <w:tcW w:w="975" w:type="dxa"/>
            <w:shd w:val="clear" w:color="auto" w:fill="auto"/>
            <w:vAlign w:val="center"/>
          </w:tcPr>
          <w:p w14:paraId="36C74A3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NTU</w:t>
            </w:r>
          </w:p>
        </w:tc>
        <w:tc>
          <w:tcPr>
            <w:tcW w:w="1555" w:type="dxa"/>
            <w:shd w:val="clear" w:color="auto" w:fill="auto"/>
            <w:vAlign w:val="center"/>
          </w:tcPr>
          <w:p w14:paraId="0FEE7BDE">
            <w:pPr>
              <w:pStyle w:val="45"/>
              <w:bidi w:val="0"/>
              <w:rPr>
                <w:rFonts w:hint="default" w:ascii="Times New Roman" w:hAnsi="Times New Roman" w:cs="Times New Roman"/>
                <w:color w:val="auto"/>
                <w:lang w:val="en-US" w:eastAsia="zh-CN"/>
              </w:rPr>
            </w:pPr>
            <w:r>
              <w:rPr>
                <w:rFonts w:hint="eastAsia" w:cs="Times New Roman"/>
                <w:color w:val="auto"/>
                <w:lang w:val="en-US" w:eastAsia="zh-CN"/>
              </w:rPr>
              <w:t>10</w:t>
            </w:r>
          </w:p>
        </w:tc>
        <w:tc>
          <w:tcPr>
            <w:tcW w:w="1064" w:type="dxa"/>
            <w:shd w:val="clear" w:color="auto" w:fill="auto"/>
            <w:vAlign w:val="center"/>
          </w:tcPr>
          <w:p w14:paraId="249FBC3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947" w:type="dxa"/>
            <w:shd w:val="clear" w:color="auto" w:fill="auto"/>
            <w:vAlign w:val="center"/>
          </w:tcPr>
          <w:p w14:paraId="6DD32DC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p>
        </w:tc>
        <w:tc>
          <w:tcPr>
            <w:tcW w:w="1184" w:type="dxa"/>
            <w:shd w:val="clear" w:color="auto" w:fill="auto"/>
            <w:vAlign w:val="center"/>
          </w:tcPr>
          <w:p w14:paraId="20602B6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w:t>
            </w:r>
          </w:p>
        </w:tc>
        <w:tc>
          <w:tcPr>
            <w:tcW w:w="1185" w:type="dxa"/>
            <w:shd w:val="clear" w:color="auto" w:fill="auto"/>
            <w:vAlign w:val="center"/>
          </w:tcPr>
          <w:p w14:paraId="1272BD7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1185" w:type="dxa"/>
            <w:shd w:val="clear" w:color="auto" w:fill="auto"/>
            <w:vAlign w:val="center"/>
          </w:tcPr>
          <w:p w14:paraId="724E4A1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p>
        </w:tc>
        <w:tc>
          <w:tcPr>
            <w:tcW w:w="1185" w:type="dxa"/>
            <w:shd w:val="clear" w:color="auto" w:fill="auto"/>
            <w:vAlign w:val="center"/>
          </w:tcPr>
          <w:p w14:paraId="6638F09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w:t>
            </w:r>
          </w:p>
        </w:tc>
        <w:tc>
          <w:tcPr>
            <w:tcW w:w="1185" w:type="dxa"/>
            <w:shd w:val="clear" w:color="auto" w:fill="auto"/>
            <w:vAlign w:val="center"/>
          </w:tcPr>
          <w:p w14:paraId="29C7D79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p>
        </w:tc>
        <w:tc>
          <w:tcPr>
            <w:tcW w:w="1185" w:type="dxa"/>
            <w:shd w:val="clear" w:color="auto" w:fill="auto"/>
            <w:vAlign w:val="center"/>
          </w:tcPr>
          <w:p w14:paraId="1988E25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p>
        </w:tc>
        <w:tc>
          <w:tcPr>
            <w:tcW w:w="1185" w:type="dxa"/>
            <w:shd w:val="clear" w:color="auto" w:fill="auto"/>
            <w:vAlign w:val="center"/>
          </w:tcPr>
          <w:p w14:paraId="49E17F7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w:t>
            </w:r>
          </w:p>
        </w:tc>
        <w:tc>
          <w:tcPr>
            <w:tcW w:w="1185" w:type="dxa"/>
            <w:shd w:val="clear" w:color="auto" w:fill="auto"/>
            <w:vAlign w:val="center"/>
          </w:tcPr>
          <w:p w14:paraId="3FD2A36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p>
        </w:tc>
      </w:tr>
      <w:tr w14:paraId="3472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464DE5C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总硬度</w:t>
            </w:r>
          </w:p>
        </w:tc>
        <w:tc>
          <w:tcPr>
            <w:tcW w:w="975" w:type="dxa"/>
            <w:vAlign w:val="center"/>
          </w:tcPr>
          <w:p w14:paraId="422E9B7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vAlign w:val="center"/>
          </w:tcPr>
          <w:p w14:paraId="63F899AC">
            <w:pPr>
              <w:pStyle w:val="45"/>
              <w:bidi w:val="0"/>
              <w:rPr>
                <w:rFonts w:hint="default" w:ascii="Times New Roman" w:hAnsi="Times New Roman" w:cs="Times New Roman"/>
                <w:color w:val="auto"/>
                <w:lang w:val="en-US" w:eastAsia="zh-CN"/>
              </w:rPr>
            </w:pPr>
            <w:r>
              <w:rPr>
                <w:rFonts w:hint="eastAsia" w:cs="Times New Roman"/>
                <w:color w:val="auto"/>
                <w:lang w:val="en-US" w:eastAsia="zh-CN"/>
              </w:rPr>
              <w:t>650</w:t>
            </w:r>
          </w:p>
        </w:tc>
        <w:tc>
          <w:tcPr>
            <w:tcW w:w="1064" w:type="dxa"/>
            <w:vAlign w:val="center"/>
          </w:tcPr>
          <w:p w14:paraId="0B5050A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179</w:t>
            </w:r>
          </w:p>
        </w:tc>
        <w:tc>
          <w:tcPr>
            <w:tcW w:w="947" w:type="dxa"/>
            <w:vAlign w:val="center"/>
          </w:tcPr>
          <w:p w14:paraId="0FDA869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154</w:t>
            </w:r>
          </w:p>
        </w:tc>
        <w:tc>
          <w:tcPr>
            <w:tcW w:w="1184" w:type="dxa"/>
            <w:vAlign w:val="center"/>
          </w:tcPr>
          <w:p w14:paraId="05F7856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191</w:t>
            </w:r>
          </w:p>
        </w:tc>
        <w:tc>
          <w:tcPr>
            <w:tcW w:w="1185" w:type="dxa"/>
            <w:vAlign w:val="center"/>
          </w:tcPr>
          <w:p w14:paraId="128BF43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201</w:t>
            </w:r>
          </w:p>
        </w:tc>
        <w:tc>
          <w:tcPr>
            <w:tcW w:w="1185" w:type="dxa"/>
            <w:vAlign w:val="center"/>
          </w:tcPr>
          <w:p w14:paraId="2383B43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134</w:t>
            </w:r>
          </w:p>
        </w:tc>
        <w:tc>
          <w:tcPr>
            <w:tcW w:w="1185" w:type="dxa"/>
            <w:vAlign w:val="center"/>
          </w:tcPr>
          <w:p w14:paraId="104BD60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168</w:t>
            </w:r>
          </w:p>
        </w:tc>
        <w:tc>
          <w:tcPr>
            <w:tcW w:w="1185" w:type="dxa"/>
            <w:vAlign w:val="center"/>
          </w:tcPr>
          <w:p w14:paraId="7C8010B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193</w:t>
            </w:r>
          </w:p>
        </w:tc>
        <w:tc>
          <w:tcPr>
            <w:tcW w:w="1185" w:type="dxa"/>
            <w:vAlign w:val="center"/>
          </w:tcPr>
          <w:p w14:paraId="439E076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137</w:t>
            </w:r>
          </w:p>
        </w:tc>
        <w:tc>
          <w:tcPr>
            <w:tcW w:w="1185" w:type="dxa"/>
            <w:vAlign w:val="center"/>
          </w:tcPr>
          <w:p w14:paraId="04FBC64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246</w:t>
            </w:r>
          </w:p>
        </w:tc>
        <w:tc>
          <w:tcPr>
            <w:tcW w:w="1185" w:type="dxa"/>
            <w:vAlign w:val="center"/>
          </w:tcPr>
          <w:p w14:paraId="12F7725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147</w:t>
            </w:r>
          </w:p>
        </w:tc>
      </w:tr>
      <w:tr w14:paraId="48E7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6568A93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铁</w:t>
            </w:r>
          </w:p>
        </w:tc>
        <w:tc>
          <w:tcPr>
            <w:tcW w:w="975" w:type="dxa"/>
            <w:vAlign w:val="center"/>
          </w:tcPr>
          <w:p w14:paraId="412E836C">
            <w:pPr>
              <w:pStyle w:val="45"/>
              <w:bidi w:val="0"/>
              <w:rPr>
                <w:rFonts w:hint="default" w:ascii="Times New Roman" w:hAnsi="Times New Roman" w:cs="Times New Roman"/>
                <w:color w:val="auto"/>
              </w:rPr>
            </w:pPr>
            <w:r>
              <w:rPr>
                <w:rFonts w:hint="default" w:ascii="Times New Roman" w:hAnsi="Times New Roman" w:cs="Times New Roman"/>
                <w:color w:val="auto"/>
              </w:rPr>
              <w:t>mg/L</w:t>
            </w:r>
          </w:p>
        </w:tc>
        <w:tc>
          <w:tcPr>
            <w:tcW w:w="1555" w:type="dxa"/>
            <w:vAlign w:val="center"/>
          </w:tcPr>
          <w:p w14:paraId="2298257B">
            <w:pPr>
              <w:pStyle w:val="45"/>
              <w:bidi w:val="0"/>
              <w:rPr>
                <w:rFonts w:hint="default" w:ascii="Times New Roman" w:hAnsi="Times New Roman" w:cs="Times New Roman"/>
                <w:color w:val="auto"/>
                <w:lang w:val="en-US" w:eastAsia="zh-CN"/>
              </w:rPr>
            </w:pPr>
            <w:r>
              <w:rPr>
                <w:rFonts w:hint="eastAsia" w:cs="Times New Roman"/>
                <w:color w:val="auto"/>
                <w:lang w:val="en-US" w:eastAsia="zh-CN"/>
              </w:rPr>
              <w:t>2</w:t>
            </w:r>
          </w:p>
        </w:tc>
        <w:tc>
          <w:tcPr>
            <w:tcW w:w="1064" w:type="dxa"/>
            <w:vAlign w:val="center"/>
          </w:tcPr>
          <w:p w14:paraId="60DB2A7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1.74</w:t>
            </w:r>
          </w:p>
        </w:tc>
        <w:tc>
          <w:tcPr>
            <w:tcW w:w="947" w:type="dxa"/>
            <w:vAlign w:val="center"/>
          </w:tcPr>
          <w:p w14:paraId="31DF839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1.31</w:t>
            </w:r>
          </w:p>
        </w:tc>
        <w:tc>
          <w:tcPr>
            <w:tcW w:w="1184" w:type="dxa"/>
            <w:vAlign w:val="center"/>
          </w:tcPr>
          <w:p w14:paraId="7EB9E65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0.34</w:t>
            </w:r>
          </w:p>
        </w:tc>
        <w:tc>
          <w:tcPr>
            <w:tcW w:w="1185" w:type="dxa"/>
            <w:vAlign w:val="center"/>
          </w:tcPr>
          <w:p w14:paraId="6E10FA8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1.04</w:t>
            </w:r>
          </w:p>
        </w:tc>
        <w:tc>
          <w:tcPr>
            <w:tcW w:w="1185" w:type="dxa"/>
            <w:vAlign w:val="center"/>
          </w:tcPr>
          <w:p w14:paraId="39B075D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0.77</w:t>
            </w:r>
          </w:p>
        </w:tc>
        <w:tc>
          <w:tcPr>
            <w:tcW w:w="1185" w:type="dxa"/>
            <w:vAlign w:val="center"/>
          </w:tcPr>
          <w:p w14:paraId="0CA2E03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1.41</w:t>
            </w:r>
          </w:p>
        </w:tc>
        <w:tc>
          <w:tcPr>
            <w:tcW w:w="1185" w:type="dxa"/>
            <w:vAlign w:val="center"/>
          </w:tcPr>
          <w:p w14:paraId="2F7BC1E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0.84</w:t>
            </w:r>
          </w:p>
        </w:tc>
        <w:tc>
          <w:tcPr>
            <w:tcW w:w="1185" w:type="dxa"/>
            <w:vAlign w:val="center"/>
          </w:tcPr>
          <w:p w14:paraId="7730452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0.04</w:t>
            </w:r>
          </w:p>
        </w:tc>
        <w:tc>
          <w:tcPr>
            <w:tcW w:w="1185" w:type="dxa"/>
            <w:vAlign w:val="center"/>
          </w:tcPr>
          <w:p w14:paraId="5FBD236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0.35</w:t>
            </w:r>
          </w:p>
        </w:tc>
        <w:tc>
          <w:tcPr>
            <w:tcW w:w="1185" w:type="dxa"/>
            <w:vAlign w:val="center"/>
          </w:tcPr>
          <w:p w14:paraId="26F119C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0.46</w:t>
            </w:r>
          </w:p>
        </w:tc>
      </w:tr>
      <w:tr w14:paraId="25BC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4B8DF37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锰</w:t>
            </w:r>
          </w:p>
        </w:tc>
        <w:tc>
          <w:tcPr>
            <w:tcW w:w="975" w:type="dxa"/>
            <w:vAlign w:val="center"/>
          </w:tcPr>
          <w:p w14:paraId="3AE77E75">
            <w:pPr>
              <w:pStyle w:val="45"/>
              <w:bidi w:val="0"/>
              <w:rPr>
                <w:rFonts w:hint="default" w:ascii="Times New Roman" w:hAnsi="Times New Roman" w:cs="Times New Roman"/>
                <w:color w:val="auto"/>
              </w:rPr>
            </w:pPr>
            <w:r>
              <w:rPr>
                <w:rFonts w:hint="default" w:ascii="Times New Roman" w:hAnsi="Times New Roman" w:cs="Times New Roman"/>
                <w:color w:val="auto"/>
              </w:rPr>
              <w:t>mg/L</w:t>
            </w:r>
          </w:p>
        </w:tc>
        <w:tc>
          <w:tcPr>
            <w:tcW w:w="1555" w:type="dxa"/>
            <w:vAlign w:val="center"/>
          </w:tcPr>
          <w:p w14:paraId="2694F2E7">
            <w:pPr>
              <w:pStyle w:val="45"/>
              <w:bidi w:val="0"/>
              <w:rPr>
                <w:rFonts w:hint="default" w:ascii="Times New Roman" w:hAnsi="Times New Roman" w:cs="Times New Roman"/>
                <w:color w:val="auto"/>
                <w:lang w:val="en-US" w:eastAsia="zh-CN"/>
              </w:rPr>
            </w:pPr>
            <w:r>
              <w:rPr>
                <w:rFonts w:hint="eastAsia" w:cs="Times New Roman"/>
                <w:color w:val="auto"/>
                <w:lang w:val="en-US" w:eastAsia="zh-CN"/>
              </w:rPr>
              <w:t>1.5</w:t>
            </w:r>
          </w:p>
        </w:tc>
        <w:tc>
          <w:tcPr>
            <w:tcW w:w="1064" w:type="dxa"/>
            <w:vAlign w:val="center"/>
          </w:tcPr>
          <w:p w14:paraId="5F30D02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947" w:type="dxa"/>
            <w:vAlign w:val="center"/>
          </w:tcPr>
          <w:p w14:paraId="7F67982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4" w:type="dxa"/>
            <w:vAlign w:val="center"/>
          </w:tcPr>
          <w:p w14:paraId="0892513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38AB152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437C412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041903D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5EF1AB2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w:t>
            </w:r>
          </w:p>
        </w:tc>
        <w:tc>
          <w:tcPr>
            <w:tcW w:w="1185" w:type="dxa"/>
            <w:vAlign w:val="center"/>
          </w:tcPr>
          <w:p w14:paraId="1770895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56D20D5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0B2DBBD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r>
      <w:tr w14:paraId="70D5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3567BEF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钠</w:t>
            </w:r>
          </w:p>
        </w:tc>
        <w:tc>
          <w:tcPr>
            <w:tcW w:w="975" w:type="dxa"/>
            <w:shd w:val="clear" w:color="auto" w:fill="auto"/>
            <w:vAlign w:val="center"/>
          </w:tcPr>
          <w:p w14:paraId="78F0B02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770DCC4B">
            <w:pPr>
              <w:pStyle w:val="45"/>
              <w:bidi w:val="0"/>
              <w:rPr>
                <w:rFonts w:hint="default" w:ascii="Times New Roman" w:hAnsi="Times New Roman" w:cs="Times New Roman"/>
                <w:color w:val="auto"/>
                <w:lang w:val="en-US" w:eastAsia="zh-CN"/>
              </w:rPr>
            </w:pPr>
            <w:r>
              <w:rPr>
                <w:rFonts w:hint="eastAsia" w:cs="Times New Roman"/>
                <w:color w:val="auto"/>
                <w:lang w:val="en-US" w:eastAsia="zh-CN"/>
              </w:rPr>
              <w:t>400</w:t>
            </w:r>
          </w:p>
        </w:tc>
        <w:tc>
          <w:tcPr>
            <w:tcW w:w="1064" w:type="dxa"/>
            <w:shd w:val="clear" w:color="auto" w:fill="auto"/>
            <w:vAlign w:val="center"/>
          </w:tcPr>
          <w:p w14:paraId="7362F10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16.4</w:t>
            </w:r>
          </w:p>
        </w:tc>
        <w:tc>
          <w:tcPr>
            <w:tcW w:w="947" w:type="dxa"/>
            <w:shd w:val="clear" w:color="auto" w:fill="auto"/>
            <w:vAlign w:val="center"/>
          </w:tcPr>
          <w:p w14:paraId="28E3B9F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15.8</w:t>
            </w:r>
          </w:p>
        </w:tc>
        <w:tc>
          <w:tcPr>
            <w:tcW w:w="1184" w:type="dxa"/>
            <w:shd w:val="clear" w:color="auto" w:fill="auto"/>
            <w:vAlign w:val="center"/>
          </w:tcPr>
          <w:p w14:paraId="1177267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25.0</w:t>
            </w:r>
          </w:p>
        </w:tc>
        <w:tc>
          <w:tcPr>
            <w:tcW w:w="1185" w:type="dxa"/>
            <w:shd w:val="clear" w:color="auto" w:fill="auto"/>
            <w:vAlign w:val="center"/>
          </w:tcPr>
          <w:p w14:paraId="617F8F8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19.0</w:t>
            </w:r>
          </w:p>
        </w:tc>
        <w:tc>
          <w:tcPr>
            <w:tcW w:w="1185" w:type="dxa"/>
            <w:shd w:val="clear" w:color="auto" w:fill="auto"/>
            <w:vAlign w:val="center"/>
          </w:tcPr>
          <w:p w14:paraId="29CF458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15.8</w:t>
            </w:r>
          </w:p>
        </w:tc>
        <w:tc>
          <w:tcPr>
            <w:tcW w:w="1185" w:type="dxa"/>
            <w:shd w:val="clear" w:color="auto" w:fill="auto"/>
            <w:vAlign w:val="center"/>
          </w:tcPr>
          <w:p w14:paraId="7BF6630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17.7</w:t>
            </w:r>
          </w:p>
        </w:tc>
        <w:tc>
          <w:tcPr>
            <w:tcW w:w="1185" w:type="dxa"/>
            <w:shd w:val="clear" w:color="auto" w:fill="auto"/>
            <w:vAlign w:val="center"/>
          </w:tcPr>
          <w:p w14:paraId="71D8877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18.4</w:t>
            </w:r>
          </w:p>
        </w:tc>
        <w:tc>
          <w:tcPr>
            <w:tcW w:w="1185" w:type="dxa"/>
            <w:shd w:val="clear" w:color="auto" w:fill="auto"/>
            <w:vAlign w:val="center"/>
          </w:tcPr>
          <w:p w14:paraId="7AAC3F4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24.1</w:t>
            </w:r>
          </w:p>
        </w:tc>
        <w:tc>
          <w:tcPr>
            <w:tcW w:w="1185" w:type="dxa"/>
            <w:shd w:val="clear" w:color="auto" w:fill="auto"/>
            <w:vAlign w:val="center"/>
          </w:tcPr>
          <w:p w14:paraId="74E11AD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24.9</w:t>
            </w:r>
          </w:p>
        </w:tc>
        <w:tc>
          <w:tcPr>
            <w:tcW w:w="1185" w:type="dxa"/>
            <w:shd w:val="clear" w:color="auto" w:fill="auto"/>
            <w:vAlign w:val="center"/>
          </w:tcPr>
          <w:p w14:paraId="2870E1C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22.6</w:t>
            </w:r>
          </w:p>
        </w:tc>
      </w:tr>
      <w:tr w14:paraId="5A2A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0F0DA70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铝</w:t>
            </w:r>
          </w:p>
        </w:tc>
        <w:tc>
          <w:tcPr>
            <w:tcW w:w="975" w:type="dxa"/>
            <w:shd w:val="clear" w:color="auto" w:fill="auto"/>
            <w:vAlign w:val="center"/>
          </w:tcPr>
          <w:p w14:paraId="62288FA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069829D4">
            <w:pPr>
              <w:pStyle w:val="45"/>
              <w:bidi w:val="0"/>
              <w:rPr>
                <w:rFonts w:hint="default" w:ascii="Times New Roman" w:hAnsi="Times New Roman" w:cs="Times New Roman"/>
                <w:color w:val="auto"/>
                <w:lang w:val="en-US" w:eastAsia="zh-CN"/>
              </w:rPr>
            </w:pPr>
            <w:r>
              <w:rPr>
                <w:rFonts w:hint="eastAsia" w:cs="Times New Roman"/>
                <w:color w:val="auto"/>
                <w:lang w:val="en-US" w:eastAsia="zh-CN"/>
              </w:rPr>
              <w:t>0.5</w:t>
            </w:r>
          </w:p>
        </w:tc>
        <w:tc>
          <w:tcPr>
            <w:tcW w:w="1064" w:type="dxa"/>
            <w:shd w:val="clear" w:color="auto" w:fill="auto"/>
            <w:vAlign w:val="center"/>
          </w:tcPr>
          <w:p w14:paraId="73F5C4F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0.009</w:t>
            </w:r>
          </w:p>
        </w:tc>
        <w:tc>
          <w:tcPr>
            <w:tcW w:w="947" w:type="dxa"/>
            <w:shd w:val="clear" w:color="auto" w:fill="auto"/>
            <w:vAlign w:val="center"/>
          </w:tcPr>
          <w:p w14:paraId="5CEA479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0.010</w:t>
            </w:r>
          </w:p>
        </w:tc>
        <w:tc>
          <w:tcPr>
            <w:tcW w:w="1184" w:type="dxa"/>
            <w:shd w:val="clear" w:color="auto" w:fill="auto"/>
            <w:vAlign w:val="center"/>
          </w:tcPr>
          <w:p w14:paraId="76089B8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0.010</w:t>
            </w:r>
          </w:p>
        </w:tc>
        <w:tc>
          <w:tcPr>
            <w:tcW w:w="1185" w:type="dxa"/>
            <w:shd w:val="clear" w:color="auto" w:fill="auto"/>
            <w:vAlign w:val="center"/>
          </w:tcPr>
          <w:p w14:paraId="17935EF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0.017</w:t>
            </w:r>
          </w:p>
        </w:tc>
        <w:tc>
          <w:tcPr>
            <w:tcW w:w="1185" w:type="dxa"/>
            <w:shd w:val="clear" w:color="auto" w:fill="auto"/>
            <w:vAlign w:val="center"/>
          </w:tcPr>
          <w:p w14:paraId="2032922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0.014</w:t>
            </w:r>
          </w:p>
        </w:tc>
        <w:tc>
          <w:tcPr>
            <w:tcW w:w="1185" w:type="dxa"/>
            <w:shd w:val="clear" w:color="auto" w:fill="auto"/>
            <w:vAlign w:val="center"/>
          </w:tcPr>
          <w:p w14:paraId="2056002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0.015</w:t>
            </w:r>
          </w:p>
        </w:tc>
        <w:tc>
          <w:tcPr>
            <w:tcW w:w="1185" w:type="dxa"/>
            <w:shd w:val="clear" w:color="auto" w:fill="auto"/>
            <w:vAlign w:val="center"/>
          </w:tcPr>
          <w:p w14:paraId="146ED01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0.010</w:t>
            </w:r>
          </w:p>
        </w:tc>
        <w:tc>
          <w:tcPr>
            <w:tcW w:w="1185" w:type="dxa"/>
            <w:shd w:val="clear" w:color="auto" w:fill="auto"/>
            <w:vAlign w:val="center"/>
          </w:tcPr>
          <w:p w14:paraId="7E1709C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0.009</w:t>
            </w:r>
          </w:p>
        </w:tc>
        <w:tc>
          <w:tcPr>
            <w:tcW w:w="1185" w:type="dxa"/>
            <w:shd w:val="clear" w:color="auto" w:fill="auto"/>
            <w:vAlign w:val="center"/>
          </w:tcPr>
          <w:p w14:paraId="79E5588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74738B1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0.024</w:t>
            </w:r>
          </w:p>
        </w:tc>
      </w:tr>
      <w:tr w14:paraId="05BB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43BC5B6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总氰化物</w:t>
            </w:r>
          </w:p>
        </w:tc>
        <w:tc>
          <w:tcPr>
            <w:tcW w:w="975" w:type="dxa"/>
            <w:shd w:val="clear" w:color="auto" w:fill="auto"/>
            <w:vAlign w:val="center"/>
          </w:tcPr>
          <w:p w14:paraId="1FCE519C">
            <w:pPr>
              <w:pStyle w:val="45"/>
              <w:bidi w:val="0"/>
              <w:rPr>
                <w:rFonts w:hint="default" w:ascii="Times New Roman" w:hAnsi="Times New Roman" w:cs="Times New Roman"/>
                <w:color w:val="auto"/>
              </w:rPr>
            </w:pPr>
            <w:r>
              <w:rPr>
                <w:rFonts w:hint="default" w:ascii="Times New Roman" w:hAnsi="Times New Roman" w:cs="Times New Roman"/>
                <w:color w:val="auto"/>
              </w:rPr>
              <w:t>mg/L</w:t>
            </w:r>
          </w:p>
        </w:tc>
        <w:tc>
          <w:tcPr>
            <w:tcW w:w="1555" w:type="dxa"/>
            <w:shd w:val="clear" w:color="auto" w:fill="auto"/>
            <w:vAlign w:val="center"/>
          </w:tcPr>
          <w:p w14:paraId="10DE2B26">
            <w:pPr>
              <w:pStyle w:val="45"/>
              <w:bidi w:val="0"/>
              <w:rPr>
                <w:rFonts w:hint="default" w:ascii="Times New Roman" w:hAnsi="Times New Roman" w:cs="Times New Roman"/>
                <w:color w:val="auto"/>
                <w:lang w:val="en-US" w:eastAsia="zh-CN"/>
              </w:rPr>
            </w:pPr>
            <w:r>
              <w:rPr>
                <w:rFonts w:hint="eastAsia" w:cs="Times New Roman"/>
                <w:color w:val="auto"/>
                <w:lang w:val="en-US" w:eastAsia="zh-CN"/>
              </w:rPr>
              <w:t>0.1</w:t>
            </w:r>
          </w:p>
        </w:tc>
        <w:tc>
          <w:tcPr>
            <w:tcW w:w="1064" w:type="dxa"/>
            <w:shd w:val="clear" w:color="auto" w:fill="auto"/>
            <w:vAlign w:val="center"/>
          </w:tcPr>
          <w:p w14:paraId="654BAC3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0.008</w:t>
            </w:r>
          </w:p>
        </w:tc>
        <w:tc>
          <w:tcPr>
            <w:tcW w:w="947" w:type="dxa"/>
            <w:shd w:val="clear" w:color="auto" w:fill="auto"/>
            <w:vAlign w:val="center"/>
          </w:tcPr>
          <w:p w14:paraId="20CF64F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0.009</w:t>
            </w:r>
          </w:p>
        </w:tc>
        <w:tc>
          <w:tcPr>
            <w:tcW w:w="1184" w:type="dxa"/>
            <w:shd w:val="clear" w:color="auto" w:fill="auto"/>
            <w:vAlign w:val="center"/>
          </w:tcPr>
          <w:p w14:paraId="06D3943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0.004</w:t>
            </w:r>
          </w:p>
        </w:tc>
        <w:tc>
          <w:tcPr>
            <w:tcW w:w="1185" w:type="dxa"/>
            <w:shd w:val="clear" w:color="auto" w:fill="auto"/>
            <w:vAlign w:val="center"/>
          </w:tcPr>
          <w:p w14:paraId="63B5DAC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0.004</w:t>
            </w:r>
          </w:p>
        </w:tc>
        <w:tc>
          <w:tcPr>
            <w:tcW w:w="1185" w:type="dxa"/>
            <w:shd w:val="clear" w:color="auto" w:fill="auto"/>
            <w:vAlign w:val="center"/>
          </w:tcPr>
          <w:p w14:paraId="2F9DFFA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0.004</w:t>
            </w:r>
          </w:p>
        </w:tc>
        <w:tc>
          <w:tcPr>
            <w:tcW w:w="1185" w:type="dxa"/>
            <w:shd w:val="clear" w:color="auto" w:fill="auto"/>
            <w:vAlign w:val="center"/>
          </w:tcPr>
          <w:p w14:paraId="585F89A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0.006</w:t>
            </w:r>
          </w:p>
        </w:tc>
        <w:tc>
          <w:tcPr>
            <w:tcW w:w="1185" w:type="dxa"/>
            <w:shd w:val="clear" w:color="auto" w:fill="auto"/>
            <w:vAlign w:val="center"/>
          </w:tcPr>
          <w:p w14:paraId="726C9DA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44AF267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0.004</w:t>
            </w:r>
          </w:p>
        </w:tc>
        <w:tc>
          <w:tcPr>
            <w:tcW w:w="1185" w:type="dxa"/>
            <w:shd w:val="clear" w:color="auto" w:fill="auto"/>
            <w:vAlign w:val="center"/>
          </w:tcPr>
          <w:p w14:paraId="7B3FC3B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1526369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r>
      <w:tr w14:paraId="2EC1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7DB71A2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氟化物</w:t>
            </w:r>
          </w:p>
        </w:tc>
        <w:tc>
          <w:tcPr>
            <w:tcW w:w="975" w:type="dxa"/>
            <w:shd w:val="clear" w:color="auto" w:fill="auto"/>
            <w:vAlign w:val="center"/>
          </w:tcPr>
          <w:p w14:paraId="781D2B5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411B050C">
            <w:pPr>
              <w:pStyle w:val="45"/>
              <w:bidi w:val="0"/>
              <w:rPr>
                <w:rFonts w:hint="default" w:ascii="Times New Roman" w:hAnsi="Times New Roman" w:cs="Times New Roman"/>
                <w:color w:val="auto"/>
                <w:lang w:val="en-US" w:eastAsia="zh-CN"/>
              </w:rPr>
            </w:pPr>
            <w:r>
              <w:rPr>
                <w:rFonts w:hint="eastAsia" w:cs="Times New Roman"/>
                <w:color w:val="auto"/>
                <w:lang w:val="en-US" w:eastAsia="zh-CN"/>
              </w:rPr>
              <w:t>2</w:t>
            </w:r>
          </w:p>
        </w:tc>
        <w:tc>
          <w:tcPr>
            <w:tcW w:w="1064" w:type="dxa"/>
            <w:shd w:val="clear" w:color="auto" w:fill="auto"/>
            <w:vAlign w:val="center"/>
          </w:tcPr>
          <w:p w14:paraId="579C331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0.985</w:t>
            </w:r>
          </w:p>
        </w:tc>
        <w:tc>
          <w:tcPr>
            <w:tcW w:w="947" w:type="dxa"/>
            <w:shd w:val="clear" w:color="auto" w:fill="auto"/>
            <w:vAlign w:val="center"/>
          </w:tcPr>
          <w:p w14:paraId="5739DC0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0.349</w:t>
            </w:r>
          </w:p>
        </w:tc>
        <w:tc>
          <w:tcPr>
            <w:tcW w:w="1184" w:type="dxa"/>
            <w:shd w:val="clear" w:color="auto" w:fill="auto"/>
            <w:vAlign w:val="center"/>
          </w:tcPr>
          <w:p w14:paraId="17C1146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0.408</w:t>
            </w:r>
          </w:p>
        </w:tc>
        <w:tc>
          <w:tcPr>
            <w:tcW w:w="1185" w:type="dxa"/>
            <w:shd w:val="clear" w:color="auto" w:fill="auto"/>
            <w:vAlign w:val="center"/>
          </w:tcPr>
          <w:p w14:paraId="0CE5310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0.403</w:t>
            </w:r>
          </w:p>
        </w:tc>
        <w:tc>
          <w:tcPr>
            <w:tcW w:w="1185" w:type="dxa"/>
            <w:shd w:val="clear" w:color="auto" w:fill="auto"/>
            <w:vAlign w:val="center"/>
          </w:tcPr>
          <w:p w14:paraId="532B6F0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0.300</w:t>
            </w:r>
          </w:p>
        </w:tc>
        <w:tc>
          <w:tcPr>
            <w:tcW w:w="1185" w:type="dxa"/>
            <w:shd w:val="clear" w:color="auto" w:fill="auto"/>
            <w:vAlign w:val="center"/>
          </w:tcPr>
          <w:p w14:paraId="78856D7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0.318</w:t>
            </w:r>
          </w:p>
        </w:tc>
        <w:tc>
          <w:tcPr>
            <w:tcW w:w="1185" w:type="dxa"/>
            <w:shd w:val="clear" w:color="auto" w:fill="auto"/>
            <w:vAlign w:val="center"/>
          </w:tcPr>
          <w:p w14:paraId="718887B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0.497</w:t>
            </w:r>
          </w:p>
        </w:tc>
        <w:tc>
          <w:tcPr>
            <w:tcW w:w="1185" w:type="dxa"/>
            <w:shd w:val="clear" w:color="auto" w:fill="auto"/>
            <w:vAlign w:val="center"/>
          </w:tcPr>
          <w:p w14:paraId="7022377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0.791</w:t>
            </w:r>
          </w:p>
        </w:tc>
        <w:tc>
          <w:tcPr>
            <w:tcW w:w="1185" w:type="dxa"/>
            <w:shd w:val="clear" w:color="auto" w:fill="auto"/>
            <w:vAlign w:val="center"/>
          </w:tcPr>
          <w:p w14:paraId="36DFCDC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0.372</w:t>
            </w:r>
          </w:p>
        </w:tc>
        <w:tc>
          <w:tcPr>
            <w:tcW w:w="1185" w:type="dxa"/>
            <w:shd w:val="clear" w:color="auto" w:fill="auto"/>
            <w:vAlign w:val="center"/>
          </w:tcPr>
          <w:p w14:paraId="750042D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0.559</w:t>
            </w:r>
          </w:p>
        </w:tc>
      </w:tr>
      <w:tr w14:paraId="17F8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04B0C352">
            <w:pPr>
              <w:pStyle w:val="45"/>
              <w:bidi w:val="0"/>
              <w:rPr>
                <w:rFonts w:hint="default" w:ascii="Times New Roman" w:hAnsi="Times New Roman" w:cs="Times New Roman"/>
                <w:color w:val="auto"/>
                <w:lang w:eastAsia="zh-CN"/>
              </w:rPr>
            </w:pPr>
            <w:r>
              <w:rPr>
                <w:rFonts w:hint="default" w:ascii="Times New Roman" w:hAnsi="Times New Roman" w:cs="Times New Roman"/>
                <w:color w:val="auto"/>
              </w:rPr>
              <w:t>可萃取性石油烃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C10-C40</w:t>
            </w:r>
            <w:r>
              <w:rPr>
                <w:rFonts w:hint="default" w:ascii="Times New Roman" w:hAnsi="Times New Roman" w:cs="Times New Roman"/>
                <w:color w:val="auto"/>
                <w:lang w:eastAsia="zh-CN"/>
              </w:rPr>
              <w:t>）</w:t>
            </w:r>
          </w:p>
        </w:tc>
        <w:tc>
          <w:tcPr>
            <w:tcW w:w="975" w:type="dxa"/>
            <w:shd w:val="clear" w:color="auto" w:fill="auto"/>
            <w:vAlign w:val="center"/>
          </w:tcPr>
          <w:p w14:paraId="386A9CAF">
            <w:pPr>
              <w:pStyle w:val="45"/>
              <w:bidi w:val="0"/>
              <w:rPr>
                <w:rFonts w:hint="default" w:ascii="Times New Roman" w:hAnsi="Times New Roman" w:cs="Times New Roman"/>
                <w:color w:val="auto"/>
              </w:rPr>
            </w:pPr>
            <w:r>
              <w:rPr>
                <w:rFonts w:hint="default" w:ascii="Times New Roman" w:hAnsi="Times New Roman" w:cs="Times New Roman"/>
                <w:color w:val="auto"/>
              </w:rPr>
              <w:t>mg/L</w:t>
            </w:r>
          </w:p>
        </w:tc>
        <w:tc>
          <w:tcPr>
            <w:tcW w:w="1555" w:type="dxa"/>
            <w:shd w:val="clear" w:color="auto" w:fill="auto"/>
            <w:vAlign w:val="center"/>
          </w:tcPr>
          <w:p w14:paraId="7F5CE7D5">
            <w:pPr>
              <w:pStyle w:val="45"/>
              <w:bidi w:val="0"/>
              <w:rPr>
                <w:rFonts w:hint="default" w:ascii="Times New Roman" w:hAnsi="Times New Roman" w:cs="Times New Roman"/>
                <w:color w:val="auto"/>
                <w:lang w:val="en-US" w:eastAsia="zh-CN"/>
              </w:rPr>
            </w:pPr>
            <w:r>
              <w:rPr>
                <w:rFonts w:hint="eastAsia" w:cs="Times New Roman"/>
                <w:color w:val="auto"/>
                <w:lang w:val="en-US" w:eastAsia="zh-CN"/>
              </w:rPr>
              <w:t>-</w:t>
            </w:r>
          </w:p>
        </w:tc>
        <w:tc>
          <w:tcPr>
            <w:tcW w:w="1064" w:type="dxa"/>
            <w:shd w:val="clear" w:color="auto" w:fill="auto"/>
            <w:vAlign w:val="center"/>
          </w:tcPr>
          <w:p w14:paraId="454B03C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w:t>
            </w:r>
          </w:p>
        </w:tc>
        <w:tc>
          <w:tcPr>
            <w:tcW w:w="947" w:type="dxa"/>
            <w:shd w:val="clear" w:color="auto" w:fill="auto"/>
            <w:vAlign w:val="center"/>
          </w:tcPr>
          <w:p w14:paraId="2235E05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w:t>
            </w:r>
          </w:p>
        </w:tc>
        <w:tc>
          <w:tcPr>
            <w:tcW w:w="1184" w:type="dxa"/>
            <w:shd w:val="clear" w:color="auto" w:fill="auto"/>
            <w:vAlign w:val="center"/>
          </w:tcPr>
          <w:p w14:paraId="2EF0095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0.03</w:t>
            </w:r>
          </w:p>
        </w:tc>
        <w:tc>
          <w:tcPr>
            <w:tcW w:w="1185" w:type="dxa"/>
            <w:shd w:val="clear" w:color="auto" w:fill="auto"/>
            <w:vAlign w:val="center"/>
          </w:tcPr>
          <w:p w14:paraId="634AF54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w:t>
            </w:r>
          </w:p>
        </w:tc>
        <w:tc>
          <w:tcPr>
            <w:tcW w:w="1185" w:type="dxa"/>
            <w:shd w:val="clear" w:color="auto" w:fill="auto"/>
            <w:vAlign w:val="center"/>
          </w:tcPr>
          <w:p w14:paraId="464ECF4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0.02</w:t>
            </w:r>
          </w:p>
        </w:tc>
        <w:tc>
          <w:tcPr>
            <w:tcW w:w="1185" w:type="dxa"/>
            <w:shd w:val="clear" w:color="auto" w:fill="auto"/>
            <w:vAlign w:val="center"/>
          </w:tcPr>
          <w:p w14:paraId="2B21228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0.03</w:t>
            </w:r>
          </w:p>
        </w:tc>
        <w:tc>
          <w:tcPr>
            <w:tcW w:w="1185" w:type="dxa"/>
            <w:shd w:val="clear" w:color="auto" w:fill="auto"/>
            <w:vAlign w:val="center"/>
          </w:tcPr>
          <w:p w14:paraId="3C53EB4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0.02</w:t>
            </w:r>
          </w:p>
        </w:tc>
        <w:tc>
          <w:tcPr>
            <w:tcW w:w="1185" w:type="dxa"/>
            <w:shd w:val="clear" w:color="auto" w:fill="auto"/>
            <w:vAlign w:val="center"/>
          </w:tcPr>
          <w:p w14:paraId="6AC96ED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0.02</w:t>
            </w:r>
          </w:p>
        </w:tc>
        <w:tc>
          <w:tcPr>
            <w:tcW w:w="1185" w:type="dxa"/>
            <w:shd w:val="clear" w:color="auto" w:fill="auto"/>
            <w:vAlign w:val="center"/>
          </w:tcPr>
          <w:p w14:paraId="7CD1B49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0.02</w:t>
            </w:r>
          </w:p>
        </w:tc>
        <w:tc>
          <w:tcPr>
            <w:tcW w:w="1185" w:type="dxa"/>
            <w:shd w:val="clear" w:color="auto" w:fill="auto"/>
            <w:vAlign w:val="center"/>
          </w:tcPr>
          <w:p w14:paraId="0FDDA75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0.03</w:t>
            </w:r>
          </w:p>
        </w:tc>
      </w:tr>
      <w:tr w14:paraId="2B83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5C4BD43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溶解性总固体</w:t>
            </w:r>
          </w:p>
        </w:tc>
        <w:tc>
          <w:tcPr>
            <w:tcW w:w="975" w:type="dxa"/>
            <w:vAlign w:val="center"/>
          </w:tcPr>
          <w:p w14:paraId="21D5D92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vAlign w:val="center"/>
          </w:tcPr>
          <w:p w14:paraId="443B5AB1">
            <w:pPr>
              <w:pStyle w:val="45"/>
              <w:bidi w:val="0"/>
              <w:rPr>
                <w:rFonts w:hint="default" w:ascii="Times New Roman" w:hAnsi="Times New Roman" w:cs="Times New Roman"/>
                <w:color w:val="auto"/>
                <w:lang w:val="en-US" w:eastAsia="zh-CN"/>
              </w:rPr>
            </w:pPr>
            <w:r>
              <w:rPr>
                <w:rFonts w:hint="eastAsia" w:cs="Times New Roman"/>
                <w:color w:val="auto"/>
                <w:lang w:val="en-US" w:eastAsia="zh-CN"/>
              </w:rPr>
              <w:t>2000</w:t>
            </w:r>
          </w:p>
        </w:tc>
        <w:tc>
          <w:tcPr>
            <w:tcW w:w="1064" w:type="dxa"/>
            <w:vAlign w:val="center"/>
          </w:tcPr>
          <w:p w14:paraId="5DFA1A6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388</w:t>
            </w:r>
          </w:p>
        </w:tc>
        <w:tc>
          <w:tcPr>
            <w:tcW w:w="947" w:type="dxa"/>
            <w:vAlign w:val="center"/>
          </w:tcPr>
          <w:p w14:paraId="535D91F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366</w:t>
            </w:r>
          </w:p>
        </w:tc>
        <w:tc>
          <w:tcPr>
            <w:tcW w:w="1184" w:type="dxa"/>
            <w:vAlign w:val="center"/>
          </w:tcPr>
          <w:p w14:paraId="7141BD6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492</w:t>
            </w:r>
          </w:p>
        </w:tc>
        <w:tc>
          <w:tcPr>
            <w:tcW w:w="1185" w:type="dxa"/>
            <w:vAlign w:val="center"/>
          </w:tcPr>
          <w:p w14:paraId="73AB347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352</w:t>
            </w:r>
          </w:p>
        </w:tc>
        <w:tc>
          <w:tcPr>
            <w:tcW w:w="1185" w:type="dxa"/>
            <w:vAlign w:val="center"/>
          </w:tcPr>
          <w:p w14:paraId="2E4C573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1840</w:t>
            </w:r>
          </w:p>
        </w:tc>
        <w:tc>
          <w:tcPr>
            <w:tcW w:w="1185" w:type="dxa"/>
            <w:vAlign w:val="center"/>
          </w:tcPr>
          <w:p w14:paraId="4BE7224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302</w:t>
            </w:r>
          </w:p>
        </w:tc>
        <w:tc>
          <w:tcPr>
            <w:tcW w:w="1185" w:type="dxa"/>
            <w:vAlign w:val="center"/>
          </w:tcPr>
          <w:p w14:paraId="0661007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303</w:t>
            </w:r>
          </w:p>
        </w:tc>
        <w:tc>
          <w:tcPr>
            <w:tcW w:w="1185" w:type="dxa"/>
            <w:vAlign w:val="center"/>
          </w:tcPr>
          <w:p w14:paraId="3587864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979</w:t>
            </w:r>
          </w:p>
        </w:tc>
        <w:tc>
          <w:tcPr>
            <w:tcW w:w="1185" w:type="dxa"/>
            <w:vAlign w:val="center"/>
          </w:tcPr>
          <w:p w14:paraId="483CDA2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1840</w:t>
            </w:r>
          </w:p>
        </w:tc>
        <w:tc>
          <w:tcPr>
            <w:tcW w:w="1185" w:type="dxa"/>
            <w:vAlign w:val="center"/>
          </w:tcPr>
          <w:p w14:paraId="30A3A43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236</w:t>
            </w:r>
          </w:p>
        </w:tc>
      </w:tr>
      <w:tr w14:paraId="7D40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1E27592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高锰酸盐指数(耗氧量)</w:t>
            </w:r>
          </w:p>
        </w:tc>
        <w:tc>
          <w:tcPr>
            <w:tcW w:w="975" w:type="dxa"/>
            <w:shd w:val="clear" w:color="auto" w:fill="auto"/>
            <w:vAlign w:val="center"/>
          </w:tcPr>
          <w:p w14:paraId="5383A39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449337BB">
            <w:pPr>
              <w:pStyle w:val="45"/>
              <w:bidi w:val="0"/>
              <w:rPr>
                <w:rFonts w:hint="default" w:ascii="Times New Roman" w:hAnsi="Times New Roman" w:cs="Times New Roman"/>
                <w:color w:val="auto"/>
                <w:lang w:val="en-US" w:eastAsia="zh-CN"/>
              </w:rPr>
            </w:pPr>
            <w:r>
              <w:rPr>
                <w:rFonts w:hint="eastAsia" w:cs="Times New Roman"/>
                <w:color w:val="auto"/>
                <w:lang w:val="en-US" w:eastAsia="zh-CN"/>
              </w:rPr>
              <w:t>10</w:t>
            </w:r>
          </w:p>
        </w:tc>
        <w:tc>
          <w:tcPr>
            <w:tcW w:w="1064" w:type="dxa"/>
            <w:shd w:val="clear" w:color="auto" w:fill="auto"/>
            <w:vAlign w:val="center"/>
          </w:tcPr>
          <w:p w14:paraId="4B13963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947" w:type="dxa"/>
            <w:shd w:val="clear" w:color="auto" w:fill="auto"/>
            <w:vAlign w:val="center"/>
          </w:tcPr>
          <w:p w14:paraId="5D11BBB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3.8</w:t>
            </w:r>
          </w:p>
        </w:tc>
        <w:tc>
          <w:tcPr>
            <w:tcW w:w="1184" w:type="dxa"/>
            <w:shd w:val="clear" w:color="auto" w:fill="auto"/>
            <w:vAlign w:val="center"/>
          </w:tcPr>
          <w:p w14:paraId="037B4AF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2.6</w:t>
            </w:r>
          </w:p>
        </w:tc>
        <w:tc>
          <w:tcPr>
            <w:tcW w:w="1185" w:type="dxa"/>
            <w:shd w:val="clear" w:color="auto" w:fill="auto"/>
            <w:vAlign w:val="center"/>
          </w:tcPr>
          <w:p w14:paraId="6960CBE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3.2</w:t>
            </w:r>
          </w:p>
        </w:tc>
        <w:tc>
          <w:tcPr>
            <w:tcW w:w="1185" w:type="dxa"/>
            <w:shd w:val="clear" w:color="auto" w:fill="auto"/>
            <w:vAlign w:val="center"/>
          </w:tcPr>
          <w:p w14:paraId="36E42EE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w:t>
            </w:r>
          </w:p>
        </w:tc>
        <w:tc>
          <w:tcPr>
            <w:tcW w:w="1185" w:type="dxa"/>
            <w:shd w:val="clear" w:color="auto" w:fill="auto"/>
            <w:vAlign w:val="center"/>
          </w:tcPr>
          <w:p w14:paraId="00BA32F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w:t>
            </w:r>
          </w:p>
        </w:tc>
        <w:tc>
          <w:tcPr>
            <w:tcW w:w="1185" w:type="dxa"/>
            <w:shd w:val="clear" w:color="auto" w:fill="auto"/>
            <w:vAlign w:val="center"/>
          </w:tcPr>
          <w:p w14:paraId="4A654E4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w:t>
            </w:r>
          </w:p>
        </w:tc>
        <w:tc>
          <w:tcPr>
            <w:tcW w:w="1185" w:type="dxa"/>
            <w:shd w:val="clear" w:color="auto" w:fill="auto"/>
            <w:vAlign w:val="center"/>
          </w:tcPr>
          <w:p w14:paraId="394909F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w:t>
            </w:r>
          </w:p>
        </w:tc>
        <w:tc>
          <w:tcPr>
            <w:tcW w:w="1185" w:type="dxa"/>
            <w:shd w:val="clear" w:color="auto" w:fill="auto"/>
            <w:vAlign w:val="center"/>
          </w:tcPr>
          <w:p w14:paraId="12C47DA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w:t>
            </w:r>
          </w:p>
        </w:tc>
        <w:tc>
          <w:tcPr>
            <w:tcW w:w="1185" w:type="dxa"/>
            <w:shd w:val="clear" w:color="auto" w:fill="auto"/>
            <w:vAlign w:val="center"/>
          </w:tcPr>
          <w:p w14:paraId="7829811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w:t>
            </w:r>
          </w:p>
        </w:tc>
      </w:tr>
      <w:tr w14:paraId="3874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3EBF524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氨氮</w:t>
            </w:r>
          </w:p>
        </w:tc>
        <w:tc>
          <w:tcPr>
            <w:tcW w:w="975" w:type="dxa"/>
            <w:shd w:val="clear" w:color="auto" w:fill="auto"/>
            <w:vAlign w:val="center"/>
          </w:tcPr>
          <w:p w14:paraId="6E040F5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53615783">
            <w:pPr>
              <w:pStyle w:val="45"/>
              <w:bidi w:val="0"/>
              <w:rPr>
                <w:rFonts w:hint="default" w:ascii="Times New Roman" w:hAnsi="Times New Roman" w:cs="Times New Roman"/>
                <w:color w:val="auto"/>
                <w:lang w:val="en-US" w:eastAsia="zh-CN"/>
              </w:rPr>
            </w:pPr>
            <w:r>
              <w:rPr>
                <w:rFonts w:hint="eastAsia" w:cs="Times New Roman"/>
                <w:color w:val="auto"/>
                <w:lang w:val="en-US" w:eastAsia="zh-CN"/>
              </w:rPr>
              <w:t>1.5</w:t>
            </w:r>
          </w:p>
        </w:tc>
        <w:tc>
          <w:tcPr>
            <w:tcW w:w="1064" w:type="dxa"/>
            <w:shd w:val="clear" w:color="auto" w:fill="auto"/>
            <w:vAlign w:val="center"/>
          </w:tcPr>
          <w:p w14:paraId="0757553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0.364</w:t>
            </w:r>
          </w:p>
        </w:tc>
        <w:tc>
          <w:tcPr>
            <w:tcW w:w="947" w:type="dxa"/>
            <w:shd w:val="clear" w:color="auto" w:fill="auto"/>
            <w:vAlign w:val="center"/>
          </w:tcPr>
          <w:p w14:paraId="4322FB0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0.383</w:t>
            </w:r>
          </w:p>
        </w:tc>
        <w:tc>
          <w:tcPr>
            <w:tcW w:w="1184" w:type="dxa"/>
            <w:shd w:val="clear" w:color="auto" w:fill="auto"/>
            <w:vAlign w:val="center"/>
          </w:tcPr>
          <w:p w14:paraId="0B8CD9E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1.09</w:t>
            </w:r>
          </w:p>
        </w:tc>
        <w:tc>
          <w:tcPr>
            <w:tcW w:w="1185" w:type="dxa"/>
            <w:shd w:val="clear" w:color="auto" w:fill="auto"/>
            <w:vAlign w:val="center"/>
          </w:tcPr>
          <w:p w14:paraId="6D22F07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0.795</w:t>
            </w:r>
          </w:p>
        </w:tc>
        <w:tc>
          <w:tcPr>
            <w:tcW w:w="1185" w:type="dxa"/>
            <w:shd w:val="clear" w:color="auto" w:fill="auto"/>
            <w:vAlign w:val="center"/>
          </w:tcPr>
          <w:p w14:paraId="3DAD3E3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0.295</w:t>
            </w:r>
          </w:p>
        </w:tc>
        <w:tc>
          <w:tcPr>
            <w:tcW w:w="1185" w:type="dxa"/>
            <w:shd w:val="clear" w:color="auto" w:fill="auto"/>
            <w:vAlign w:val="center"/>
          </w:tcPr>
          <w:p w14:paraId="0D5CC41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0.515</w:t>
            </w:r>
          </w:p>
        </w:tc>
        <w:tc>
          <w:tcPr>
            <w:tcW w:w="1185" w:type="dxa"/>
            <w:shd w:val="clear" w:color="auto" w:fill="auto"/>
            <w:vAlign w:val="center"/>
          </w:tcPr>
          <w:p w14:paraId="1F45017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0.530</w:t>
            </w:r>
          </w:p>
        </w:tc>
        <w:tc>
          <w:tcPr>
            <w:tcW w:w="1185" w:type="dxa"/>
            <w:shd w:val="clear" w:color="auto" w:fill="auto"/>
            <w:vAlign w:val="center"/>
          </w:tcPr>
          <w:p w14:paraId="2D201F0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0.271</w:t>
            </w:r>
          </w:p>
        </w:tc>
        <w:tc>
          <w:tcPr>
            <w:tcW w:w="1185" w:type="dxa"/>
            <w:shd w:val="clear" w:color="auto" w:fill="auto"/>
            <w:vAlign w:val="center"/>
          </w:tcPr>
          <w:p w14:paraId="2712011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0.226</w:t>
            </w:r>
          </w:p>
        </w:tc>
        <w:tc>
          <w:tcPr>
            <w:tcW w:w="1185" w:type="dxa"/>
            <w:shd w:val="clear" w:color="auto" w:fill="auto"/>
            <w:vAlign w:val="center"/>
          </w:tcPr>
          <w:p w14:paraId="7C20711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0.247</w:t>
            </w:r>
          </w:p>
        </w:tc>
      </w:tr>
      <w:tr w14:paraId="7AD6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6966C90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硫酸盐</w:t>
            </w:r>
          </w:p>
        </w:tc>
        <w:tc>
          <w:tcPr>
            <w:tcW w:w="975" w:type="dxa"/>
            <w:shd w:val="clear" w:color="auto" w:fill="auto"/>
            <w:vAlign w:val="center"/>
          </w:tcPr>
          <w:p w14:paraId="6B50B0B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24494EE0">
            <w:pPr>
              <w:pStyle w:val="45"/>
              <w:bidi w:val="0"/>
              <w:rPr>
                <w:rFonts w:hint="default" w:ascii="Times New Roman" w:hAnsi="Times New Roman" w:cs="Times New Roman"/>
                <w:color w:val="auto"/>
                <w:lang w:val="en-US" w:eastAsia="zh-CN"/>
              </w:rPr>
            </w:pPr>
            <w:r>
              <w:rPr>
                <w:rFonts w:hint="eastAsia" w:cs="Times New Roman"/>
                <w:color w:val="auto"/>
                <w:lang w:val="en-US" w:eastAsia="zh-CN"/>
              </w:rPr>
              <w:t>350</w:t>
            </w:r>
          </w:p>
        </w:tc>
        <w:tc>
          <w:tcPr>
            <w:tcW w:w="1064" w:type="dxa"/>
            <w:shd w:val="clear" w:color="auto" w:fill="auto"/>
            <w:vAlign w:val="center"/>
          </w:tcPr>
          <w:p w14:paraId="3D98392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40.3</w:t>
            </w:r>
          </w:p>
        </w:tc>
        <w:tc>
          <w:tcPr>
            <w:tcW w:w="947" w:type="dxa"/>
            <w:shd w:val="clear" w:color="auto" w:fill="auto"/>
            <w:vAlign w:val="center"/>
          </w:tcPr>
          <w:p w14:paraId="24C9B11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27.5</w:t>
            </w:r>
          </w:p>
        </w:tc>
        <w:tc>
          <w:tcPr>
            <w:tcW w:w="1184" w:type="dxa"/>
            <w:shd w:val="clear" w:color="auto" w:fill="auto"/>
            <w:vAlign w:val="center"/>
          </w:tcPr>
          <w:p w14:paraId="3B50FC4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31.2</w:t>
            </w:r>
          </w:p>
        </w:tc>
        <w:tc>
          <w:tcPr>
            <w:tcW w:w="1185" w:type="dxa"/>
            <w:shd w:val="clear" w:color="auto" w:fill="auto"/>
            <w:vAlign w:val="center"/>
          </w:tcPr>
          <w:p w14:paraId="795E5AC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29.4</w:t>
            </w:r>
          </w:p>
        </w:tc>
        <w:tc>
          <w:tcPr>
            <w:tcW w:w="1185" w:type="dxa"/>
            <w:shd w:val="clear" w:color="auto" w:fill="auto"/>
            <w:vAlign w:val="center"/>
          </w:tcPr>
          <w:p w14:paraId="23408D8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28.5</w:t>
            </w:r>
          </w:p>
        </w:tc>
        <w:tc>
          <w:tcPr>
            <w:tcW w:w="1185" w:type="dxa"/>
            <w:shd w:val="clear" w:color="auto" w:fill="auto"/>
            <w:vAlign w:val="center"/>
          </w:tcPr>
          <w:p w14:paraId="0925762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28.3</w:t>
            </w:r>
          </w:p>
        </w:tc>
        <w:tc>
          <w:tcPr>
            <w:tcW w:w="1185" w:type="dxa"/>
            <w:shd w:val="clear" w:color="auto" w:fill="auto"/>
            <w:vAlign w:val="center"/>
          </w:tcPr>
          <w:p w14:paraId="751C219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29.3</w:t>
            </w:r>
          </w:p>
        </w:tc>
        <w:tc>
          <w:tcPr>
            <w:tcW w:w="1185" w:type="dxa"/>
            <w:shd w:val="clear" w:color="auto" w:fill="auto"/>
            <w:vAlign w:val="center"/>
          </w:tcPr>
          <w:p w14:paraId="3ECC572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32.8</w:t>
            </w:r>
          </w:p>
        </w:tc>
        <w:tc>
          <w:tcPr>
            <w:tcW w:w="1185" w:type="dxa"/>
            <w:shd w:val="clear" w:color="auto" w:fill="auto"/>
            <w:vAlign w:val="center"/>
          </w:tcPr>
          <w:p w14:paraId="0DC96E4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34.2</w:t>
            </w:r>
          </w:p>
        </w:tc>
        <w:tc>
          <w:tcPr>
            <w:tcW w:w="1185" w:type="dxa"/>
            <w:shd w:val="clear" w:color="auto" w:fill="auto"/>
            <w:vAlign w:val="center"/>
          </w:tcPr>
          <w:p w14:paraId="1D7C992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41.6</w:t>
            </w:r>
          </w:p>
        </w:tc>
      </w:tr>
      <w:tr w14:paraId="3361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24D5B1E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氯化物</w:t>
            </w:r>
          </w:p>
        </w:tc>
        <w:tc>
          <w:tcPr>
            <w:tcW w:w="975" w:type="dxa"/>
            <w:shd w:val="clear" w:color="auto" w:fill="auto"/>
            <w:vAlign w:val="center"/>
          </w:tcPr>
          <w:p w14:paraId="523F227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5A4AD78F">
            <w:pPr>
              <w:pStyle w:val="45"/>
              <w:bidi w:val="0"/>
              <w:rPr>
                <w:rFonts w:hint="default" w:ascii="Times New Roman" w:hAnsi="Times New Roman" w:cs="Times New Roman"/>
                <w:color w:val="auto"/>
                <w:lang w:val="en-US" w:eastAsia="zh-CN"/>
              </w:rPr>
            </w:pPr>
            <w:r>
              <w:rPr>
                <w:rFonts w:hint="eastAsia" w:cs="Times New Roman"/>
                <w:color w:val="auto"/>
                <w:lang w:val="en-US" w:eastAsia="zh-CN"/>
              </w:rPr>
              <w:t>350</w:t>
            </w:r>
          </w:p>
        </w:tc>
        <w:tc>
          <w:tcPr>
            <w:tcW w:w="1064" w:type="dxa"/>
            <w:shd w:val="clear" w:color="auto" w:fill="auto"/>
            <w:vAlign w:val="center"/>
          </w:tcPr>
          <w:p w14:paraId="5C329F2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19.4</w:t>
            </w:r>
          </w:p>
        </w:tc>
        <w:tc>
          <w:tcPr>
            <w:tcW w:w="947" w:type="dxa"/>
            <w:shd w:val="clear" w:color="auto" w:fill="auto"/>
            <w:vAlign w:val="center"/>
          </w:tcPr>
          <w:p w14:paraId="7FB5D4E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18.6</w:t>
            </w:r>
          </w:p>
        </w:tc>
        <w:tc>
          <w:tcPr>
            <w:tcW w:w="1184" w:type="dxa"/>
            <w:shd w:val="clear" w:color="auto" w:fill="auto"/>
            <w:vAlign w:val="center"/>
          </w:tcPr>
          <w:p w14:paraId="41731EF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25.6</w:t>
            </w:r>
          </w:p>
        </w:tc>
        <w:tc>
          <w:tcPr>
            <w:tcW w:w="1185" w:type="dxa"/>
            <w:shd w:val="clear" w:color="auto" w:fill="auto"/>
            <w:vAlign w:val="center"/>
          </w:tcPr>
          <w:p w14:paraId="3A52386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114</w:t>
            </w:r>
          </w:p>
        </w:tc>
        <w:tc>
          <w:tcPr>
            <w:tcW w:w="1185" w:type="dxa"/>
            <w:shd w:val="clear" w:color="auto" w:fill="auto"/>
            <w:vAlign w:val="center"/>
          </w:tcPr>
          <w:p w14:paraId="53A5DB0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305</w:t>
            </w:r>
          </w:p>
        </w:tc>
        <w:tc>
          <w:tcPr>
            <w:tcW w:w="1185" w:type="dxa"/>
            <w:shd w:val="clear" w:color="auto" w:fill="auto"/>
            <w:vAlign w:val="center"/>
          </w:tcPr>
          <w:p w14:paraId="11960CA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207</w:t>
            </w:r>
          </w:p>
        </w:tc>
        <w:tc>
          <w:tcPr>
            <w:tcW w:w="1185" w:type="dxa"/>
            <w:shd w:val="clear" w:color="auto" w:fill="auto"/>
            <w:vAlign w:val="center"/>
          </w:tcPr>
          <w:p w14:paraId="2E43A82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253</w:t>
            </w:r>
          </w:p>
        </w:tc>
        <w:tc>
          <w:tcPr>
            <w:tcW w:w="1185" w:type="dxa"/>
            <w:shd w:val="clear" w:color="auto" w:fill="auto"/>
            <w:vAlign w:val="center"/>
          </w:tcPr>
          <w:p w14:paraId="550D5C9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30.8</w:t>
            </w:r>
          </w:p>
        </w:tc>
        <w:tc>
          <w:tcPr>
            <w:tcW w:w="1185" w:type="dxa"/>
            <w:shd w:val="clear" w:color="auto" w:fill="auto"/>
            <w:vAlign w:val="center"/>
          </w:tcPr>
          <w:p w14:paraId="790940D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34.2</w:t>
            </w:r>
          </w:p>
        </w:tc>
        <w:tc>
          <w:tcPr>
            <w:tcW w:w="1185" w:type="dxa"/>
            <w:shd w:val="clear" w:color="auto" w:fill="auto"/>
            <w:vAlign w:val="center"/>
          </w:tcPr>
          <w:p w14:paraId="2A4EF0B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24.9</w:t>
            </w:r>
          </w:p>
        </w:tc>
      </w:tr>
      <w:tr w14:paraId="59F3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755619B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挥发酚</w:t>
            </w:r>
          </w:p>
        </w:tc>
        <w:tc>
          <w:tcPr>
            <w:tcW w:w="975" w:type="dxa"/>
            <w:shd w:val="clear" w:color="auto" w:fill="auto"/>
            <w:vAlign w:val="center"/>
          </w:tcPr>
          <w:p w14:paraId="4EB9614C">
            <w:pPr>
              <w:pStyle w:val="45"/>
              <w:bidi w:val="0"/>
              <w:rPr>
                <w:rFonts w:hint="default" w:ascii="Times New Roman" w:hAnsi="Times New Roman" w:cs="Times New Roman"/>
                <w:color w:val="auto"/>
              </w:rPr>
            </w:pPr>
            <w:r>
              <w:rPr>
                <w:rFonts w:hint="default" w:ascii="Times New Roman" w:hAnsi="Times New Roman" w:cs="Times New Roman"/>
                <w:color w:val="auto"/>
              </w:rPr>
              <w:t>mg/L</w:t>
            </w:r>
          </w:p>
        </w:tc>
        <w:tc>
          <w:tcPr>
            <w:tcW w:w="1555" w:type="dxa"/>
            <w:shd w:val="clear" w:color="auto" w:fill="auto"/>
            <w:vAlign w:val="center"/>
          </w:tcPr>
          <w:p w14:paraId="217EBED4">
            <w:pPr>
              <w:pStyle w:val="45"/>
              <w:bidi w:val="0"/>
              <w:rPr>
                <w:rFonts w:hint="default" w:ascii="Times New Roman" w:hAnsi="Times New Roman" w:cs="Times New Roman"/>
                <w:color w:val="auto"/>
                <w:lang w:val="en-US" w:eastAsia="zh-CN"/>
              </w:rPr>
            </w:pPr>
            <w:r>
              <w:rPr>
                <w:rFonts w:hint="eastAsia" w:cs="Times New Roman"/>
                <w:color w:val="auto"/>
                <w:lang w:val="en-US" w:eastAsia="zh-CN"/>
              </w:rPr>
              <w:t>0.01</w:t>
            </w:r>
          </w:p>
        </w:tc>
        <w:tc>
          <w:tcPr>
            <w:tcW w:w="1064" w:type="dxa"/>
            <w:shd w:val="clear" w:color="auto" w:fill="auto"/>
            <w:vAlign w:val="center"/>
          </w:tcPr>
          <w:p w14:paraId="0E02D05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0.0004</w:t>
            </w:r>
          </w:p>
        </w:tc>
        <w:tc>
          <w:tcPr>
            <w:tcW w:w="947" w:type="dxa"/>
            <w:shd w:val="clear" w:color="auto" w:fill="auto"/>
            <w:vAlign w:val="center"/>
          </w:tcPr>
          <w:p w14:paraId="1E88FB2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0.0005</w:t>
            </w:r>
          </w:p>
        </w:tc>
        <w:tc>
          <w:tcPr>
            <w:tcW w:w="1184" w:type="dxa"/>
            <w:shd w:val="clear" w:color="auto" w:fill="auto"/>
            <w:vAlign w:val="center"/>
          </w:tcPr>
          <w:p w14:paraId="1085CDE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0.0005</w:t>
            </w:r>
          </w:p>
        </w:tc>
        <w:tc>
          <w:tcPr>
            <w:tcW w:w="1185" w:type="dxa"/>
            <w:shd w:val="clear" w:color="auto" w:fill="auto"/>
            <w:vAlign w:val="center"/>
          </w:tcPr>
          <w:p w14:paraId="353882E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0.0007</w:t>
            </w:r>
          </w:p>
        </w:tc>
        <w:tc>
          <w:tcPr>
            <w:tcW w:w="1185" w:type="dxa"/>
            <w:shd w:val="clear" w:color="auto" w:fill="auto"/>
            <w:vAlign w:val="center"/>
          </w:tcPr>
          <w:p w14:paraId="1FE263E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0.0006</w:t>
            </w:r>
          </w:p>
        </w:tc>
        <w:tc>
          <w:tcPr>
            <w:tcW w:w="1185" w:type="dxa"/>
            <w:shd w:val="clear" w:color="auto" w:fill="auto"/>
            <w:vAlign w:val="center"/>
          </w:tcPr>
          <w:p w14:paraId="751C3BB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0.0005</w:t>
            </w:r>
          </w:p>
        </w:tc>
        <w:tc>
          <w:tcPr>
            <w:tcW w:w="1185" w:type="dxa"/>
            <w:shd w:val="clear" w:color="auto" w:fill="auto"/>
            <w:vAlign w:val="center"/>
          </w:tcPr>
          <w:p w14:paraId="0F7A4E5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0.0003</w:t>
            </w:r>
          </w:p>
        </w:tc>
        <w:tc>
          <w:tcPr>
            <w:tcW w:w="1185" w:type="dxa"/>
            <w:shd w:val="clear" w:color="auto" w:fill="auto"/>
            <w:vAlign w:val="center"/>
          </w:tcPr>
          <w:p w14:paraId="36795F2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0.0007</w:t>
            </w:r>
          </w:p>
        </w:tc>
        <w:tc>
          <w:tcPr>
            <w:tcW w:w="1185" w:type="dxa"/>
            <w:shd w:val="clear" w:color="auto" w:fill="auto"/>
            <w:vAlign w:val="center"/>
          </w:tcPr>
          <w:p w14:paraId="3B7DF42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0.0006</w:t>
            </w:r>
          </w:p>
        </w:tc>
        <w:tc>
          <w:tcPr>
            <w:tcW w:w="1185" w:type="dxa"/>
            <w:shd w:val="clear" w:color="auto" w:fill="auto"/>
            <w:vAlign w:val="center"/>
          </w:tcPr>
          <w:p w14:paraId="1E8C98C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0.0004</w:t>
            </w:r>
          </w:p>
        </w:tc>
      </w:tr>
      <w:tr w14:paraId="58FA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67493F0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硝酸盐(以N计)</w:t>
            </w:r>
          </w:p>
        </w:tc>
        <w:tc>
          <w:tcPr>
            <w:tcW w:w="975" w:type="dxa"/>
            <w:shd w:val="clear" w:color="auto" w:fill="auto"/>
            <w:vAlign w:val="center"/>
          </w:tcPr>
          <w:p w14:paraId="751ADEE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413EFEDB">
            <w:pPr>
              <w:pStyle w:val="45"/>
              <w:bidi w:val="0"/>
              <w:rPr>
                <w:rFonts w:hint="default" w:ascii="Times New Roman" w:hAnsi="Times New Roman" w:cs="Times New Roman"/>
                <w:color w:val="auto"/>
                <w:lang w:val="en-US" w:eastAsia="zh-CN"/>
              </w:rPr>
            </w:pPr>
            <w:r>
              <w:rPr>
                <w:rFonts w:hint="eastAsia" w:cs="Times New Roman"/>
                <w:color w:val="auto"/>
                <w:lang w:val="en-US" w:eastAsia="zh-CN"/>
              </w:rPr>
              <w:t>30</w:t>
            </w:r>
          </w:p>
        </w:tc>
        <w:tc>
          <w:tcPr>
            <w:tcW w:w="1064" w:type="dxa"/>
            <w:shd w:val="clear" w:color="auto" w:fill="auto"/>
            <w:vAlign w:val="center"/>
          </w:tcPr>
          <w:p w14:paraId="172BD3F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4.20</w:t>
            </w:r>
          </w:p>
        </w:tc>
        <w:tc>
          <w:tcPr>
            <w:tcW w:w="947" w:type="dxa"/>
            <w:shd w:val="clear" w:color="auto" w:fill="auto"/>
            <w:vAlign w:val="center"/>
          </w:tcPr>
          <w:p w14:paraId="56DE1F0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1.68</w:t>
            </w:r>
          </w:p>
        </w:tc>
        <w:tc>
          <w:tcPr>
            <w:tcW w:w="1184" w:type="dxa"/>
            <w:shd w:val="clear" w:color="auto" w:fill="auto"/>
            <w:vAlign w:val="center"/>
          </w:tcPr>
          <w:p w14:paraId="5369A5A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1.25</w:t>
            </w:r>
          </w:p>
        </w:tc>
        <w:tc>
          <w:tcPr>
            <w:tcW w:w="1185" w:type="dxa"/>
            <w:shd w:val="clear" w:color="auto" w:fill="auto"/>
            <w:vAlign w:val="center"/>
          </w:tcPr>
          <w:p w14:paraId="1A0E665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2.58</w:t>
            </w:r>
          </w:p>
        </w:tc>
        <w:tc>
          <w:tcPr>
            <w:tcW w:w="1185" w:type="dxa"/>
            <w:shd w:val="clear" w:color="auto" w:fill="auto"/>
            <w:vAlign w:val="center"/>
          </w:tcPr>
          <w:p w14:paraId="0083450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4.45</w:t>
            </w:r>
          </w:p>
        </w:tc>
        <w:tc>
          <w:tcPr>
            <w:tcW w:w="1185" w:type="dxa"/>
            <w:shd w:val="clear" w:color="auto" w:fill="auto"/>
            <w:vAlign w:val="center"/>
          </w:tcPr>
          <w:p w14:paraId="04DDEE9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2.76</w:t>
            </w:r>
          </w:p>
        </w:tc>
        <w:tc>
          <w:tcPr>
            <w:tcW w:w="1185" w:type="dxa"/>
            <w:shd w:val="clear" w:color="auto" w:fill="auto"/>
            <w:vAlign w:val="center"/>
          </w:tcPr>
          <w:p w14:paraId="5434989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2.46</w:t>
            </w:r>
          </w:p>
        </w:tc>
        <w:tc>
          <w:tcPr>
            <w:tcW w:w="1185" w:type="dxa"/>
            <w:shd w:val="clear" w:color="auto" w:fill="auto"/>
            <w:vAlign w:val="center"/>
          </w:tcPr>
          <w:p w14:paraId="185B875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2.38</w:t>
            </w:r>
          </w:p>
        </w:tc>
        <w:tc>
          <w:tcPr>
            <w:tcW w:w="1185" w:type="dxa"/>
            <w:shd w:val="clear" w:color="auto" w:fill="auto"/>
            <w:vAlign w:val="center"/>
          </w:tcPr>
          <w:p w14:paraId="7C7B756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1.84</w:t>
            </w:r>
          </w:p>
        </w:tc>
        <w:tc>
          <w:tcPr>
            <w:tcW w:w="1185" w:type="dxa"/>
            <w:shd w:val="clear" w:color="auto" w:fill="auto"/>
            <w:vAlign w:val="center"/>
          </w:tcPr>
          <w:p w14:paraId="1D4C773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2.38</w:t>
            </w:r>
          </w:p>
        </w:tc>
      </w:tr>
      <w:tr w14:paraId="0AA5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0B99933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亚硝酸盐(以N计)</w:t>
            </w:r>
          </w:p>
        </w:tc>
        <w:tc>
          <w:tcPr>
            <w:tcW w:w="975" w:type="dxa"/>
            <w:shd w:val="clear" w:color="auto" w:fill="auto"/>
            <w:vAlign w:val="center"/>
          </w:tcPr>
          <w:p w14:paraId="37360AD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mg/L</w:t>
            </w:r>
          </w:p>
        </w:tc>
        <w:tc>
          <w:tcPr>
            <w:tcW w:w="1555" w:type="dxa"/>
            <w:shd w:val="clear" w:color="auto" w:fill="auto"/>
            <w:vAlign w:val="center"/>
          </w:tcPr>
          <w:p w14:paraId="52DFE9C7">
            <w:pPr>
              <w:pStyle w:val="45"/>
              <w:bidi w:val="0"/>
              <w:rPr>
                <w:rFonts w:hint="default" w:ascii="Times New Roman" w:hAnsi="Times New Roman" w:cs="Times New Roman"/>
                <w:color w:val="auto"/>
                <w:lang w:val="en-US" w:eastAsia="zh-CN"/>
              </w:rPr>
            </w:pPr>
            <w:r>
              <w:rPr>
                <w:rFonts w:hint="eastAsia" w:cs="Times New Roman"/>
                <w:color w:val="auto"/>
                <w:lang w:val="en-US" w:eastAsia="zh-CN"/>
              </w:rPr>
              <w:t>4.8</w:t>
            </w:r>
          </w:p>
        </w:tc>
        <w:tc>
          <w:tcPr>
            <w:tcW w:w="1064" w:type="dxa"/>
            <w:shd w:val="clear" w:color="auto" w:fill="auto"/>
            <w:vAlign w:val="center"/>
          </w:tcPr>
          <w:p w14:paraId="2547273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0.076</w:t>
            </w:r>
          </w:p>
        </w:tc>
        <w:tc>
          <w:tcPr>
            <w:tcW w:w="947" w:type="dxa"/>
            <w:shd w:val="clear" w:color="auto" w:fill="auto"/>
            <w:vAlign w:val="center"/>
          </w:tcPr>
          <w:p w14:paraId="2183F84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0.179</w:t>
            </w:r>
          </w:p>
        </w:tc>
        <w:tc>
          <w:tcPr>
            <w:tcW w:w="1184" w:type="dxa"/>
            <w:shd w:val="clear" w:color="auto" w:fill="auto"/>
            <w:vAlign w:val="center"/>
          </w:tcPr>
          <w:p w14:paraId="72817C9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0.084</w:t>
            </w:r>
          </w:p>
        </w:tc>
        <w:tc>
          <w:tcPr>
            <w:tcW w:w="1185" w:type="dxa"/>
            <w:shd w:val="clear" w:color="auto" w:fill="auto"/>
            <w:vAlign w:val="center"/>
          </w:tcPr>
          <w:p w14:paraId="11AE01B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0.157</w:t>
            </w:r>
          </w:p>
        </w:tc>
        <w:tc>
          <w:tcPr>
            <w:tcW w:w="1185" w:type="dxa"/>
            <w:shd w:val="clear" w:color="auto" w:fill="auto"/>
            <w:vAlign w:val="center"/>
          </w:tcPr>
          <w:p w14:paraId="24713B9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468AD0C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32A986B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4922DD3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0.261</w:t>
            </w:r>
          </w:p>
        </w:tc>
        <w:tc>
          <w:tcPr>
            <w:tcW w:w="1185" w:type="dxa"/>
            <w:shd w:val="clear" w:color="auto" w:fill="auto"/>
            <w:vAlign w:val="center"/>
          </w:tcPr>
          <w:p w14:paraId="363B7F1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0.025</w:t>
            </w:r>
          </w:p>
        </w:tc>
        <w:tc>
          <w:tcPr>
            <w:tcW w:w="1185" w:type="dxa"/>
            <w:shd w:val="clear" w:color="auto" w:fill="auto"/>
            <w:vAlign w:val="center"/>
          </w:tcPr>
          <w:p w14:paraId="489699C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0.244</w:t>
            </w:r>
          </w:p>
        </w:tc>
      </w:tr>
      <w:tr w14:paraId="66DE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2F44F077">
            <w:pPr>
              <w:pStyle w:val="45"/>
              <w:bidi w:val="0"/>
              <w:rPr>
                <w:rFonts w:hint="default" w:ascii="Times New Roman" w:hAnsi="Times New Roman" w:cs="Times New Roman"/>
                <w:color w:val="auto"/>
              </w:rPr>
            </w:pPr>
            <w:r>
              <w:rPr>
                <w:rFonts w:hint="default" w:ascii="Times New Roman" w:hAnsi="Times New Roman" w:cs="Times New Roman"/>
                <w:color w:val="auto"/>
              </w:rPr>
              <w:t>顺式-1,2-二氯乙烯</w:t>
            </w:r>
          </w:p>
        </w:tc>
        <w:tc>
          <w:tcPr>
            <w:tcW w:w="975" w:type="dxa"/>
            <w:shd w:val="clear" w:color="auto" w:fill="auto"/>
            <w:vAlign w:val="center"/>
          </w:tcPr>
          <w:p w14:paraId="50C55B2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μg/L</w:t>
            </w:r>
          </w:p>
        </w:tc>
        <w:tc>
          <w:tcPr>
            <w:tcW w:w="1555" w:type="dxa"/>
            <w:shd w:val="clear" w:color="auto" w:fill="auto"/>
            <w:vAlign w:val="center"/>
          </w:tcPr>
          <w:p w14:paraId="7F56F628">
            <w:pPr>
              <w:pStyle w:val="45"/>
              <w:bidi w:val="0"/>
              <w:rPr>
                <w:rFonts w:hint="default" w:ascii="Times New Roman" w:hAnsi="Times New Roman" w:cs="Times New Roman"/>
                <w:color w:val="auto"/>
                <w:lang w:val="en-US" w:eastAsia="zh-CN"/>
              </w:rPr>
            </w:pPr>
            <w:r>
              <w:rPr>
                <w:rFonts w:hint="eastAsia" w:cs="Times New Roman"/>
                <w:color w:val="auto"/>
                <w:lang w:val="en-US" w:eastAsia="zh-CN"/>
              </w:rPr>
              <w:t>-</w:t>
            </w:r>
          </w:p>
        </w:tc>
        <w:tc>
          <w:tcPr>
            <w:tcW w:w="1064" w:type="dxa"/>
            <w:shd w:val="clear" w:color="auto" w:fill="auto"/>
            <w:vAlign w:val="center"/>
          </w:tcPr>
          <w:p w14:paraId="396742C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947" w:type="dxa"/>
            <w:shd w:val="clear" w:color="auto" w:fill="auto"/>
            <w:vAlign w:val="center"/>
          </w:tcPr>
          <w:p w14:paraId="2A5F833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4" w:type="dxa"/>
            <w:shd w:val="clear" w:color="auto" w:fill="auto"/>
            <w:vAlign w:val="center"/>
          </w:tcPr>
          <w:p w14:paraId="42D273C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6671A93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703A891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w:t>
            </w:r>
          </w:p>
        </w:tc>
        <w:tc>
          <w:tcPr>
            <w:tcW w:w="1185" w:type="dxa"/>
            <w:shd w:val="clear" w:color="auto" w:fill="auto"/>
            <w:vAlign w:val="center"/>
          </w:tcPr>
          <w:p w14:paraId="4BF667F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6E66124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3C0C525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610BB8C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382BF6A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r>
      <w:tr w14:paraId="5089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74032FF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氯仿</w:t>
            </w:r>
          </w:p>
        </w:tc>
        <w:tc>
          <w:tcPr>
            <w:tcW w:w="975" w:type="dxa"/>
            <w:shd w:val="clear" w:color="auto" w:fill="auto"/>
            <w:vAlign w:val="center"/>
          </w:tcPr>
          <w:p w14:paraId="4A99635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μg/L</w:t>
            </w:r>
          </w:p>
        </w:tc>
        <w:tc>
          <w:tcPr>
            <w:tcW w:w="1555" w:type="dxa"/>
            <w:shd w:val="clear" w:color="auto" w:fill="auto"/>
            <w:vAlign w:val="center"/>
          </w:tcPr>
          <w:p w14:paraId="0A85E006">
            <w:pPr>
              <w:pStyle w:val="45"/>
              <w:bidi w:val="0"/>
              <w:rPr>
                <w:rFonts w:hint="default" w:ascii="Times New Roman" w:hAnsi="Times New Roman" w:cs="Times New Roman"/>
                <w:color w:val="auto"/>
                <w:lang w:val="en-US" w:eastAsia="zh-CN"/>
              </w:rPr>
            </w:pPr>
            <w:r>
              <w:rPr>
                <w:rFonts w:hint="eastAsia" w:cs="Times New Roman"/>
                <w:color w:val="auto"/>
                <w:lang w:val="en-US" w:eastAsia="zh-CN"/>
              </w:rPr>
              <w:t>-</w:t>
            </w:r>
          </w:p>
        </w:tc>
        <w:tc>
          <w:tcPr>
            <w:tcW w:w="1064" w:type="dxa"/>
            <w:shd w:val="clear" w:color="auto" w:fill="auto"/>
            <w:vAlign w:val="center"/>
          </w:tcPr>
          <w:p w14:paraId="3688055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10.6</w:t>
            </w:r>
          </w:p>
        </w:tc>
        <w:tc>
          <w:tcPr>
            <w:tcW w:w="947" w:type="dxa"/>
            <w:shd w:val="clear" w:color="auto" w:fill="auto"/>
            <w:vAlign w:val="center"/>
          </w:tcPr>
          <w:p w14:paraId="7A6A283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19.4</w:t>
            </w:r>
          </w:p>
        </w:tc>
        <w:tc>
          <w:tcPr>
            <w:tcW w:w="1184" w:type="dxa"/>
            <w:shd w:val="clear" w:color="auto" w:fill="auto"/>
            <w:vAlign w:val="center"/>
          </w:tcPr>
          <w:p w14:paraId="5C69DDC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9.8</w:t>
            </w:r>
          </w:p>
        </w:tc>
        <w:tc>
          <w:tcPr>
            <w:tcW w:w="1185" w:type="dxa"/>
            <w:shd w:val="clear" w:color="auto" w:fill="auto"/>
            <w:vAlign w:val="center"/>
          </w:tcPr>
          <w:p w14:paraId="440A5B9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14.5</w:t>
            </w:r>
          </w:p>
        </w:tc>
        <w:tc>
          <w:tcPr>
            <w:tcW w:w="1185" w:type="dxa"/>
            <w:shd w:val="clear" w:color="auto" w:fill="auto"/>
            <w:vAlign w:val="center"/>
          </w:tcPr>
          <w:p w14:paraId="4BD1884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21.1</w:t>
            </w:r>
          </w:p>
        </w:tc>
        <w:tc>
          <w:tcPr>
            <w:tcW w:w="1185" w:type="dxa"/>
            <w:shd w:val="clear" w:color="auto" w:fill="auto"/>
            <w:vAlign w:val="center"/>
          </w:tcPr>
          <w:p w14:paraId="5979A18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12.5</w:t>
            </w:r>
          </w:p>
        </w:tc>
        <w:tc>
          <w:tcPr>
            <w:tcW w:w="1185" w:type="dxa"/>
            <w:shd w:val="clear" w:color="auto" w:fill="auto"/>
            <w:vAlign w:val="center"/>
          </w:tcPr>
          <w:p w14:paraId="383074B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14.0</w:t>
            </w:r>
          </w:p>
        </w:tc>
        <w:tc>
          <w:tcPr>
            <w:tcW w:w="1185" w:type="dxa"/>
            <w:shd w:val="clear" w:color="auto" w:fill="auto"/>
            <w:vAlign w:val="center"/>
          </w:tcPr>
          <w:p w14:paraId="4747805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7A66A73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shd w:val="clear" w:color="auto" w:fill="auto"/>
            <w:vAlign w:val="center"/>
          </w:tcPr>
          <w:p w14:paraId="27B3507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20.1</w:t>
            </w:r>
          </w:p>
        </w:tc>
      </w:tr>
      <w:tr w14:paraId="056E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15C15A4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苯</w:t>
            </w:r>
          </w:p>
        </w:tc>
        <w:tc>
          <w:tcPr>
            <w:tcW w:w="975" w:type="dxa"/>
            <w:vAlign w:val="center"/>
          </w:tcPr>
          <w:p w14:paraId="53314D2A">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μg/L</w:t>
            </w:r>
          </w:p>
        </w:tc>
        <w:tc>
          <w:tcPr>
            <w:tcW w:w="1555" w:type="dxa"/>
            <w:vAlign w:val="center"/>
          </w:tcPr>
          <w:p w14:paraId="281CCB67">
            <w:pPr>
              <w:pStyle w:val="45"/>
              <w:bidi w:val="0"/>
              <w:rPr>
                <w:rFonts w:hint="default" w:ascii="Times New Roman" w:hAnsi="Times New Roman" w:cs="Times New Roman"/>
                <w:color w:val="auto"/>
                <w:lang w:val="en-US" w:eastAsia="zh-CN"/>
              </w:rPr>
            </w:pPr>
            <w:r>
              <w:rPr>
                <w:rFonts w:hint="eastAsia" w:cs="Times New Roman"/>
                <w:color w:val="auto"/>
                <w:lang w:val="en-US" w:eastAsia="zh-CN"/>
              </w:rPr>
              <w:t>-</w:t>
            </w:r>
          </w:p>
        </w:tc>
        <w:tc>
          <w:tcPr>
            <w:tcW w:w="1064" w:type="dxa"/>
            <w:vAlign w:val="center"/>
          </w:tcPr>
          <w:p w14:paraId="631CAAF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947" w:type="dxa"/>
            <w:vAlign w:val="center"/>
          </w:tcPr>
          <w:p w14:paraId="20CDA03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4" w:type="dxa"/>
            <w:vAlign w:val="center"/>
          </w:tcPr>
          <w:p w14:paraId="4321227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63E2287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7FA1021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1185" w:type="dxa"/>
            <w:vAlign w:val="center"/>
          </w:tcPr>
          <w:p w14:paraId="7F4D776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188DE1A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69A49F3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65D9E72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48A9984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r>
      <w:tr w14:paraId="5297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07A2740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三氯乙烯</w:t>
            </w:r>
          </w:p>
        </w:tc>
        <w:tc>
          <w:tcPr>
            <w:tcW w:w="975" w:type="dxa"/>
            <w:vAlign w:val="center"/>
          </w:tcPr>
          <w:p w14:paraId="6CCEF48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μg/L</w:t>
            </w:r>
          </w:p>
        </w:tc>
        <w:tc>
          <w:tcPr>
            <w:tcW w:w="1555" w:type="dxa"/>
            <w:vAlign w:val="center"/>
          </w:tcPr>
          <w:p w14:paraId="2AD62279">
            <w:pPr>
              <w:pStyle w:val="45"/>
              <w:bidi w:val="0"/>
              <w:rPr>
                <w:rFonts w:hint="default" w:ascii="Times New Roman" w:hAnsi="Times New Roman" w:cs="Times New Roman"/>
                <w:color w:val="auto"/>
                <w:lang w:val="en-US" w:eastAsia="zh-CN"/>
              </w:rPr>
            </w:pPr>
            <w:r>
              <w:rPr>
                <w:rFonts w:hint="eastAsia" w:cs="Times New Roman"/>
                <w:color w:val="auto"/>
                <w:lang w:val="en-US" w:eastAsia="zh-CN"/>
              </w:rPr>
              <w:t>210</w:t>
            </w:r>
          </w:p>
        </w:tc>
        <w:tc>
          <w:tcPr>
            <w:tcW w:w="1064" w:type="dxa"/>
            <w:vAlign w:val="center"/>
          </w:tcPr>
          <w:p w14:paraId="1B66C1C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947" w:type="dxa"/>
            <w:vAlign w:val="center"/>
          </w:tcPr>
          <w:p w14:paraId="1F9A8CF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4" w:type="dxa"/>
            <w:vAlign w:val="center"/>
          </w:tcPr>
          <w:p w14:paraId="34F423D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4458804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387F87C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8.7</w:t>
            </w:r>
          </w:p>
        </w:tc>
        <w:tc>
          <w:tcPr>
            <w:tcW w:w="1185" w:type="dxa"/>
            <w:vAlign w:val="center"/>
          </w:tcPr>
          <w:p w14:paraId="2D025C6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2ED7D22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14A580C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3B83E47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3E021FB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r>
      <w:tr w14:paraId="303E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0FB253C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四氯乙烯</w:t>
            </w:r>
          </w:p>
        </w:tc>
        <w:tc>
          <w:tcPr>
            <w:tcW w:w="975" w:type="dxa"/>
            <w:vAlign w:val="center"/>
          </w:tcPr>
          <w:p w14:paraId="69583D7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μg/L</w:t>
            </w:r>
          </w:p>
        </w:tc>
        <w:tc>
          <w:tcPr>
            <w:tcW w:w="1555" w:type="dxa"/>
            <w:vAlign w:val="center"/>
          </w:tcPr>
          <w:p w14:paraId="322D9794">
            <w:pPr>
              <w:pStyle w:val="45"/>
              <w:bidi w:val="0"/>
              <w:rPr>
                <w:rFonts w:hint="default" w:ascii="Times New Roman" w:hAnsi="Times New Roman" w:cs="Times New Roman"/>
                <w:color w:val="auto"/>
                <w:lang w:val="en-US" w:eastAsia="zh-CN"/>
              </w:rPr>
            </w:pPr>
            <w:r>
              <w:rPr>
                <w:rFonts w:hint="eastAsia" w:cs="Times New Roman"/>
                <w:color w:val="auto"/>
                <w:lang w:val="en-US" w:eastAsia="zh-CN"/>
              </w:rPr>
              <w:t>300</w:t>
            </w:r>
          </w:p>
        </w:tc>
        <w:tc>
          <w:tcPr>
            <w:tcW w:w="1064" w:type="dxa"/>
            <w:vAlign w:val="center"/>
          </w:tcPr>
          <w:p w14:paraId="72F3531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947" w:type="dxa"/>
            <w:vAlign w:val="center"/>
          </w:tcPr>
          <w:p w14:paraId="2CF1B9A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4" w:type="dxa"/>
            <w:vAlign w:val="center"/>
          </w:tcPr>
          <w:p w14:paraId="06B5B2B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6F943C3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7AC9FBD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48.5</w:t>
            </w:r>
          </w:p>
        </w:tc>
        <w:tc>
          <w:tcPr>
            <w:tcW w:w="1185" w:type="dxa"/>
            <w:vAlign w:val="center"/>
          </w:tcPr>
          <w:p w14:paraId="11F2E34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5.7</w:t>
            </w:r>
          </w:p>
        </w:tc>
        <w:tc>
          <w:tcPr>
            <w:tcW w:w="1185" w:type="dxa"/>
            <w:vAlign w:val="center"/>
          </w:tcPr>
          <w:p w14:paraId="0363AD8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72FAF9E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21F4238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c>
          <w:tcPr>
            <w:tcW w:w="1185" w:type="dxa"/>
            <w:vAlign w:val="center"/>
          </w:tcPr>
          <w:p w14:paraId="3CC3DDC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ND</w:t>
            </w:r>
          </w:p>
        </w:tc>
      </w:tr>
      <w:tr w14:paraId="051B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shd w:val="clear" w:color="auto" w:fill="auto"/>
            <w:vAlign w:val="center"/>
          </w:tcPr>
          <w:p w14:paraId="4ACE306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色度</w:t>
            </w:r>
          </w:p>
        </w:tc>
        <w:tc>
          <w:tcPr>
            <w:tcW w:w="975" w:type="dxa"/>
            <w:shd w:val="clear" w:color="auto" w:fill="auto"/>
            <w:vAlign w:val="center"/>
          </w:tcPr>
          <w:p w14:paraId="003FA47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度</w:t>
            </w:r>
          </w:p>
        </w:tc>
        <w:tc>
          <w:tcPr>
            <w:tcW w:w="1555" w:type="dxa"/>
            <w:vAlign w:val="center"/>
          </w:tcPr>
          <w:p w14:paraId="3AF3196C">
            <w:pPr>
              <w:pStyle w:val="45"/>
              <w:bidi w:val="0"/>
              <w:rPr>
                <w:rFonts w:hint="default" w:ascii="Times New Roman" w:hAnsi="Times New Roman" w:cs="Times New Roman"/>
                <w:color w:val="auto"/>
                <w:lang w:val="en-US" w:eastAsia="zh-CN"/>
              </w:rPr>
            </w:pPr>
            <w:r>
              <w:rPr>
                <w:rFonts w:hint="eastAsia" w:cs="Times New Roman"/>
                <w:color w:val="auto"/>
                <w:lang w:val="en-US" w:eastAsia="zh-CN"/>
              </w:rPr>
              <w:t>25</w:t>
            </w:r>
          </w:p>
        </w:tc>
        <w:tc>
          <w:tcPr>
            <w:tcW w:w="1064" w:type="dxa"/>
            <w:vAlign w:val="center"/>
          </w:tcPr>
          <w:p w14:paraId="1B9D8B8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947" w:type="dxa"/>
            <w:vAlign w:val="center"/>
          </w:tcPr>
          <w:p w14:paraId="6EA6E8C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184" w:type="dxa"/>
            <w:vAlign w:val="center"/>
          </w:tcPr>
          <w:p w14:paraId="64E7276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185" w:type="dxa"/>
            <w:vAlign w:val="center"/>
          </w:tcPr>
          <w:p w14:paraId="5D889E5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185" w:type="dxa"/>
            <w:vAlign w:val="center"/>
          </w:tcPr>
          <w:p w14:paraId="55B913A7">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185" w:type="dxa"/>
            <w:vAlign w:val="center"/>
          </w:tcPr>
          <w:p w14:paraId="4CDF817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185" w:type="dxa"/>
            <w:vAlign w:val="center"/>
          </w:tcPr>
          <w:p w14:paraId="06D01BF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185" w:type="dxa"/>
            <w:vAlign w:val="center"/>
          </w:tcPr>
          <w:p w14:paraId="0098BAE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185" w:type="dxa"/>
            <w:vAlign w:val="center"/>
          </w:tcPr>
          <w:p w14:paraId="6B10420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185" w:type="dxa"/>
            <w:vAlign w:val="center"/>
          </w:tcPr>
          <w:p w14:paraId="46488DB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r>
      <w:tr w14:paraId="6EE8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11E2EB55">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臭和味</w:t>
            </w:r>
          </w:p>
        </w:tc>
        <w:tc>
          <w:tcPr>
            <w:tcW w:w="975" w:type="dxa"/>
            <w:vAlign w:val="center"/>
          </w:tcPr>
          <w:p w14:paraId="20A6F350">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55" w:type="dxa"/>
            <w:vAlign w:val="center"/>
          </w:tcPr>
          <w:p w14:paraId="7BADA931">
            <w:pPr>
              <w:pStyle w:val="45"/>
              <w:bidi w:val="0"/>
              <w:rPr>
                <w:rFonts w:hint="default" w:ascii="Times New Roman" w:hAnsi="Times New Roman" w:cs="Times New Roman"/>
                <w:color w:val="auto"/>
                <w:lang w:val="en-US" w:eastAsia="zh-CN"/>
              </w:rPr>
            </w:pPr>
            <w:r>
              <w:rPr>
                <w:rFonts w:hint="eastAsia" w:cs="Times New Roman"/>
                <w:color w:val="auto"/>
                <w:lang w:val="en-US" w:eastAsia="zh-CN"/>
              </w:rPr>
              <w:t>无</w:t>
            </w:r>
          </w:p>
        </w:tc>
        <w:tc>
          <w:tcPr>
            <w:tcW w:w="1064" w:type="dxa"/>
            <w:vAlign w:val="center"/>
          </w:tcPr>
          <w:p w14:paraId="287A8BC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947" w:type="dxa"/>
            <w:vAlign w:val="center"/>
          </w:tcPr>
          <w:p w14:paraId="4D88DA0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1184" w:type="dxa"/>
            <w:vAlign w:val="center"/>
          </w:tcPr>
          <w:p w14:paraId="50FF1D2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1185" w:type="dxa"/>
            <w:vAlign w:val="center"/>
          </w:tcPr>
          <w:p w14:paraId="6BC6C87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1185" w:type="dxa"/>
            <w:vAlign w:val="center"/>
          </w:tcPr>
          <w:p w14:paraId="6937297C">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1185" w:type="dxa"/>
            <w:vAlign w:val="center"/>
          </w:tcPr>
          <w:p w14:paraId="5BE89831">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1185" w:type="dxa"/>
            <w:vAlign w:val="center"/>
          </w:tcPr>
          <w:p w14:paraId="629D071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1185" w:type="dxa"/>
            <w:vAlign w:val="center"/>
          </w:tcPr>
          <w:p w14:paraId="5167C18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1185" w:type="dxa"/>
            <w:vAlign w:val="center"/>
          </w:tcPr>
          <w:p w14:paraId="4E516A54">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c>
          <w:tcPr>
            <w:tcW w:w="1185" w:type="dxa"/>
            <w:vAlign w:val="center"/>
          </w:tcPr>
          <w:p w14:paraId="4C4DB1A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无臭无味</w:t>
            </w:r>
          </w:p>
        </w:tc>
      </w:tr>
      <w:tr w14:paraId="6525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14:paraId="1CC4F46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rPr>
              <w:t>肉眼可见物</w:t>
            </w:r>
          </w:p>
        </w:tc>
        <w:tc>
          <w:tcPr>
            <w:tcW w:w="975" w:type="dxa"/>
            <w:vAlign w:val="center"/>
          </w:tcPr>
          <w:p w14:paraId="3D1D2E4D">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55" w:type="dxa"/>
            <w:vAlign w:val="center"/>
          </w:tcPr>
          <w:p w14:paraId="4CED55A9">
            <w:pPr>
              <w:pStyle w:val="45"/>
              <w:bidi w:val="0"/>
              <w:rPr>
                <w:rFonts w:hint="default" w:ascii="Times New Roman" w:hAnsi="Times New Roman" w:cs="Times New Roman"/>
                <w:color w:val="auto"/>
                <w:lang w:val="en-US" w:eastAsia="zh-CN"/>
              </w:rPr>
            </w:pPr>
            <w:r>
              <w:rPr>
                <w:rFonts w:hint="eastAsia" w:cs="Times New Roman"/>
                <w:color w:val="auto"/>
                <w:lang w:val="en-US" w:eastAsia="zh-CN"/>
              </w:rPr>
              <w:t>无</w:t>
            </w:r>
          </w:p>
        </w:tc>
        <w:tc>
          <w:tcPr>
            <w:tcW w:w="1064" w:type="dxa"/>
            <w:vAlign w:val="center"/>
          </w:tcPr>
          <w:p w14:paraId="1774593E">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947" w:type="dxa"/>
            <w:vAlign w:val="center"/>
          </w:tcPr>
          <w:p w14:paraId="00D4E82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1184" w:type="dxa"/>
            <w:vAlign w:val="center"/>
          </w:tcPr>
          <w:p w14:paraId="1E768423">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1185" w:type="dxa"/>
            <w:vAlign w:val="center"/>
          </w:tcPr>
          <w:p w14:paraId="6379F242">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1185" w:type="dxa"/>
            <w:vAlign w:val="center"/>
          </w:tcPr>
          <w:p w14:paraId="7058A19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1185" w:type="dxa"/>
            <w:vAlign w:val="center"/>
          </w:tcPr>
          <w:p w14:paraId="5C37781F">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1185" w:type="dxa"/>
            <w:vAlign w:val="center"/>
          </w:tcPr>
          <w:p w14:paraId="1332A588">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1185" w:type="dxa"/>
            <w:vAlign w:val="center"/>
          </w:tcPr>
          <w:p w14:paraId="43011CD9">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1185" w:type="dxa"/>
            <w:vAlign w:val="center"/>
          </w:tcPr>
          <w:p w14:paraId="4400655B">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1185" w:type="dxa"/>
            <w:vAlign w:val="center"/>
          </w:tcPr>
          <w:p w14:paraId="5C243216">
            <w:pPr>
              <w:pStyle w:val="4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r>
    </w:tbl>
    <w:p w14:paraId="7541C224">
      <w:pPr>
        <w:numPr>
          <w:ilvl w:val="0"/>
          <w:numId w:val="0"/>
        </w:numPr>
        <w:bidi w:val="0"/>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highlight w:val="none"/>
        </w:rPr>
        <w:t>由监测结果可知，目前常熟三爱富氟化工有限责任公司</w:t>
      </w:r>
      <w:r>
        <w:rPr>
          <w:rFonts w:hint="eastAsia" w:ascii="Times New Roman" w:hAnsi="Times New Roman" w:cs="Times New Roman"/>
          <w:color w:val="auto"/>
          <w:highlight w:val="none"/>
          <w:lang w:val="en-US" w:eastAsia="zh-CN"/>
        </w:rPr>
        <w:t>各</w:t>
      </w:r>
      <w:r>
        <w:rPr>
          <w:rFonts w:hint="default" w:ascii="Times New Roman" w:hAnsi="Times New Roman" w:cs="Times New Roman"/>
          <w:color w:val="auto"/>
          <w:lang w:val="en-US" w:eastAsia="zh-CN"/>
        </w:rPr>
        <w:t>点位监测结果</w:t>
      </w:r>
      <w:r>
        <w:rPr>
          <w:rFonts w:hint="eastAsia" w:cs="Times New Roman"/>
          <w:color w:val="auto"/>
          <w:lang w:val="en-US" w:eastAsia="zh-CN"/>
        </w:rPr>
        <w:t>除</w:t>
      </w:r>
      <w:r>
        <w:rPr>
          <w:rFonts w:hint="eastAsia" w:cs="Times New Roman"/>
          <w:color w:val="auto"/>
          <w:highlight w:val="none"/>
          <w:lang w:val="en-US" w:eastAsia="zh-CN"/>
        </w:rPr>
        <w:t>pH和浑浊度</w:t>
      </w:r>
      <w:r>
        <w:rPr>
          <w:rFonts w:hint="eastAsia" w:cs="Times New Roman"/>
          <w:color w:val="auto"/>
          <w:lang w:val="en-US" w:eastAsia="zh-CN"/>
        </w:rPr>
        <w:t>外，其他指标</w:t>
      </w:r>
      <w:r>
        <w:rPr>
          <w:rFonts w:hint="default" w:ascii="Times New Roman" w:hAnsi="Times New Roman" w:cs="Times New Roman"/>
          <w:color w:val="auto"/>
          <w:lang w:val="en-US" w:eastAsia="zh-CN"/>
        </w:rPr>
        <w:t>均符合</w:t>
      </w:r>
      <w:r>
        <w:rPr>
          <w:rFonts w:hint="default" w:ascii="Times New Roman" w:hAnsi="Times New Roman" w:cs="Times New Roman"/>
          <w:color w:val="auto"/>
        </w:rPr>
        <w:t>《地下水质量标准》（GB/T 14848-2017）中规定的Ⅳ类水标准。可萃取性石油烃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C10-C40</w:t>
      </w:r>
      <w:r>
        <w:rPr>
          <w:rFonts w:hint="default" w:ascii="Times New Roman" w:hAnsi="Times New Roman" w:cs="Times New Roman"/>
          <w:color w:val="auto"/>
          <w:lang w:eastAsia="zh-CN"/>
        </w:rPr>
        <w:t>）</w:t>
      </w:r>
      <w:r>
        <w:rPr>
          <w:rFonts w:hint="eastAsia" w:cs="Times New Roman"/>
          <w:color w:val="auto"/>
          <w:lang w:eastAsia="zh-CN"/>
        </w:rPr>
        <w:t>、</w:t>
      </w:r>
      <w:r>
        <w:rPr>
          <w:rFonts w:hint="default" w:ascii="Times New Roman" w:hAnsi="Times New Roman" w:cs="Times New Roman"/>
          <w:color w:val="auto"/>
        </w:rPr>
        <w:t>顺式-1,2-二氯乙烯</w:t>
      </w:r>
      <w:r>
        <w:rPr>
          <w:rFonts w:hint="eastAsia" w:cs="Times New Roman"/>
          <w:color w:val="auto"/>
          <w:lang w:eastAsia="zh-CN"/>
        </w:rPr>
        <w:t>、</w:t>
      </w:r>
      <w:r>
        <w:rPr>
          <w:rFonts w:hint="eastAsia" w:cs="Times New Roman"/>
          <w:color w:val="auto"/>
          <w:lang w:val="en-US" w:eastAsia="zh-CN"/>
        </w:rPr>
        <w:t>苯、氯仿无标准，暂不评价。</w:t>
      </w:r>
    </w:p>
    <w:p w14:paraId="3C4FBB53">
      <w:pPr>
        <w:numPr>
          <w:ilvl w:val="0"/>
          <w:numId w:val="0"/>
        </w:numPr>
        <w:bidi w:val="0"/>
        <w:rPr>
          <w:rFonts w:hint="default" w:ascii="Times New Roman" w:hAnsi="Times New Roman" w:cs="Times New Roman"/>
          <w:color w:val="auto"/>
          <w:highlight w:val="none"/>
        </w:rPr>
      </w:pPr>
    </w:p>
    <w:p w14:paraId="783E3487">
      <w:pPr>
        <w:widowControl w:val="0"/>
        <w:numPr>
          <w:ilvl w:val="0"/>
          <w:numId w:val="0"/>
        </w:numPr>
        <w:bidi w:val="0"/>
        <w:spacing w:line="360" w:lineRule="auto"/>
        <w:jc w:val="both"/>
        <w:rPr>
          <w:rFonts w:hint="default" w:ascii="Times New Roman" w:hAnsi="Times New Roman" w:cs="Times New Roman"/>
          <w:b/>
          <w:bCs/>
          <w:color w:val="auto"/>
          <w:highlight w:val="none"/>
          <w:lang w:val="en-US" w:eastAsia="zh-CN"/>
        </w:rPr>
        <w:sectPr>
          <w:pgSz w:w="16838" w:h="11906" w:orient="landscape"/>
          <w:pgMar w:top="1797" w:right="1440" w:bottom="1797" w:left="1440" w:header="851" w:footer="992" w:gutter="0"/>
          <w:pgNumType w:fmt="decimal"/>
          <w:cols w:space="425" w:num="1"/>
          <w:docGrid w:type="lines" w:linePitch="312" w:charSpace="0"/>
        </w:sectPr>
      </w:pPr>
    </w:p>
    <w:p w14:paraId="55968723">
      <w:pPr>
        <w:numPr>
          <w:ilvl w:val="0"/>
          <w:numId w:val="10"/>
        </w:numPr>
        <w:bidi w:val="0"/>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土壤环境质量现状</w:t>
      </w:r>
    </w:p>
    <w:p w14:paraId="76433031">
      <w:pPr>
        <w:bidi w:val="0"/>
        <w:rPr>
          <w:rFonts w:hint="default"/>
          <w:color w:val="auto"/>
          <w:lang w:val="en-US" w:eastAsia="zh-CN"/>
        </w:rPr>
      </w:pPr>
      <w:r>
        <w:rPr>
          <w:rFonts w:hint="eastAsia"/>
          <w:color w:val="auto"/>
          <w:lang w:val="en-US" w:eastAsia="zh-CN"/>
        </w:rPr>
        <w:t>根据企业2024年土壤检测数据（</w:t>
      </w:r>
      <w:r>
        <w:rPr>
          <w:rFonts w:hint="default"/>
          <w:color w:val="auto"/>
          <w:lang w:val="en-US" w:eastAsia="zh-CN"/>
        </w:rPr>
        <w:t>监测单位：</w:t>
      </w:r>
      <w:r>
        <w:rPr>
          <w:rFonts w:hint="eastAsia"/>
          <w:color w:val="auto"/>
          <w:lang w:val="en-US" w:eastAsia="zh-CN"/>
        </w:rPr>
        <w:t>苏州国诚检测技术有限公司；</w:t>
      </w:r>
      <w:r>
        <w:rPr>
          <w:rFonts w:hint="default"/>
          <w:color w:val="auto"/>
          <w:lang w:val="en-US" w:eastAsia="zh-CN"/>
        </w:rPr>
        <w:t>报告编号：</w:t>
      </w:r>
      <w:r>
        <w:rPr>
          <w:rFonts w:hint="eastAsia"/>
          <w:color w:val="auto"/>
          <w:lang w:val="en-US" w:eastAsia="zh-CN"/>
        </w:rPr>
        <w:t>环检-E2408516；</w:t>
      </w:r>
      <w:r>
        <w:rPr>
          <w:rFonts w:hint="default"/>
          <w:color w:val="auto"/>
          <w:lang w:val="en-US" w:eastAsia="zh-CN"/>
        </w:rPr>
        <w:t>监测时间2024年</w:t>
      </w:r>
      <w:r>
        <w:rPr>
          <w:rFonts w:hint="eastAsia"/>
          <w:color w:val="auto"/>
          <w:lang w:val="en-US" w:eastAsia="zh-CN"/>
        </w:rPr>
        <w:t>9</w:t>
      </w:r>
      <w:r>
        <w:rPr>
          <w:rFonts w:hint="default"/>
          <w:color w:val="auto"/>
          <w:lang w:val="en-US" w:eastAsia="zh-CN"/>
        </w:rPr>
        <w:t>月</w:t>
      </w:r>
      <w:r>
        <w:rPr>
          <w:rFonts w:hint="eastAsia"/>
          <w:color w:val="auto"/>
          <w:lang w:val="en-US" w:eastAsia="zh-CN"/>
        </w:rPr>
        <w:t>）。</w:t>
      </w:r>
    </w:p>
    <w:p w14:paraId="074AE42D">
      <w:pPr>
        <w:numPr>
          <w:ilvl w:val="0"/>
          <w:numId w:val="0"/>
        </w:numPr>
        <w:bidi w:val="0"/>
        <w:rPr>
          <w:color w:val="auto"/>
        </w:rPr>
      </w:pPr>
      <w:r>
        <w:drawing>
          <wp:inline distT="0" distB="0" distL="114300" distR="114300">
            <wp:extent cx="5275580" cy="3822065"/>
            <wp:effectExtent l="9525" t="9525" r="10795" b="1651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45"/>
                    <a:stretch>
                      <a:fillRect/>
                    </a:stretch>
                  </pic:blipFill>
                  <pic:spPr>
                    <a:xfrm>
                      <a:off x="0" y="0"/>
                      <a:ext cx="5275580" cy="3822065"/>
                    </a:xfrm>
                    <a:prstGeom prst="rect">
                      <a:avLst/>
                    </a:prstGeom>
                    <a:noFill/>
                    <a:ln>
                      <a:solidFill>
                        <a:schemeClr val="tx1"/>
                      </a:solidFill>
                    </a:ln>
                  </pic:spPr>
                </pic:pic>
              </a:graphicData>
            </a:graphic>
          </wp:inline>
        </w:drawing>
      </w:r>
    </w:p>
    <w:p w14:paraId="2C9CE2E6">
      <w:pPr>
        <w:pStyle w:val="47"/>
        <w:bidi w:val="0"/>
        <w:rPr>
          <w:rFonts w:hint="eastAsia"/>
          <w:color w:val="auto"/>
          <w:lang w:val="en-US" w:eastAsia="zh-CN"/>
        </w:rPr>
      </w:pPr>
      <w:r>
        <w:rPr>
          <w:rFonts w:hint="default"/>
          <w:color w:val="auto"/>
        </w:rPr>
        <w:t>图</w:t>
      </w:r>
      <w:r>
        <w:rPr>
          <w:rFonts w:hint="eastAsia"/>
          <w:color w:val="auto"/>
          <w:lang w:val="en-US" w:eastAsia="zh-CN"/>
        </w:rPr>
        <w:t xml:space="preserve"> 2.5-3</w:t>
      </w:r>
      <w:r>
        <w:rPr>
          <w:rFonts w:hint="default"/>
          <w:color w:val="auto"/>
        </w:rPr>
        <w:t xml:space="preserve"> </w:t>
      </w:r>
      <w:r>
        <w:rPr>
          <w:rFonts w:hint="eastAsia"/>
          <w:color w:val="auto"/>
          <w:lang w:val="en-US" w:eastAsia="zh-CN"/>
        </w:rPr>
        <w:t>土壤</w:t>
      </w:r>
      <w:r>
        <w:rPr>
          <w:rFonts w:hint="default"/>
          <w:color w:val="auto"/>
        </w:rPr>
        <w:t>监测布点图</w:t>
      </w:r>
    </w:p>
    <w:p w14:paraId="3A5E4BA3">
      <w:pPr>
        <w:bidi w:val="0"/>
        <w:rPr>
          <w:rFonts w:hint="eastAsia"/>
          <w:color w:val="auto"/>
          <w:lang w:val="en-US" w:eastAsia="zh-CN"/>
        </w:rPr>
      </w:pPr>
      <w:r>
        <w:rPr>
          <w:rFonts w:hint="eastAsia"/>
          <w:color w:val="auto"/>
          <w:lang w:val="en-US" w:eastAsia="zh-CN"/>
        </w:rPr>
        <w:t>检测指标为：</w:t>
      </w:r>
    </w:p>
    <w:p w14:paraId="189C23E6">
      <w:pPr>
        <w:bidi w:val="0"/>
        <w:rPr>
          <w:rFonts w:hint="default"/>
          <w:color w:val="auto"/>
          <w:lang w:val="en-US" w:eastAsia="zh-CN"/>
        </w:rPr>
      </w:pPr>
      <w:r>
        <w:rPr>
          <w:rFonts w:hint="default"/>
          <w:color w:val="auto"/>
          <w:lang w:val="en-US" w:eastAsia="zh-CN"/>
        </w:rPr>
        <w:t>45项基本项目：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硝基苯、苯胺、2-氯酚、苯并[a]蒽、苯并[a]芘、苯并[b]荧蒽、苯并[k]荧蒽、䓛、二苯并（a，h）蒽、茚并[1,2,3-cd]芘、萘</w:t>
      </w:r>
      <w:r>
        <w:rPr>
          <w:rFonts w:hint="eastAsia"/>
          <w:color w:val="auto"/>
          <w:lang w:val="en-US" w:eastAsia="zh-CN"/>
        </w:rPr>
        <w:t>。</w:t>
      </w:r>
    </w:p>
    <w:p w14:paraId="42739E68">
      <w:pPr>
        <w:bidi w:val="0"/>
        <w:rPr>
          <w:rFonts w:hint="eastAsia"/>
          <w:color w:val="auto"/>
          <w:lang w:val="en-US" w:eastAsia="zh-CN"/>
        </w:rPr>
      </w:pPr>
      <w:r>
        <w:rPr>
          <w:rFonts w:hint="default"/>
          <w:color w:val="auto"/>
          <w:lang w:val="en-US" w:eastAsia="zh-CN"/>
        </w:rPr>
        <w:t>其他项目：pH值、锌、铝（以Al2O3计）、锑、氟化物、石油烃（C10~C40）</w:t>
      </w:r>
      <w:r>
        <w:rPr>
          <w:rFonts w:hint="eastAsia"/>
          <w:color w:val="auto"/>
          <w:lang w:val="en-US" w:eastAsia="zh-CN"/>
        </w:rPr>
        <w:t>。</w:t>
      </w:r>
    </w:p>
    <w:p w14:paraId="286EE449">
      <w:pPr>
        <w:bidi w:val="0"/>
        <w:rPr>
          <w:rFonts w:hint="eastAsia"/>
          <w:color w:val="auto"/>
          <w:lang w:val="en-US" w:eastAsia="zh-CN"/>
        </w:rPr>
        <w:sectPr>
          <w:pgSz w:w="11906" w:h="16838"/>
          <w:pgMar w:top="1440" w:right="1797" w:bottom="1440" w:left="1797" w:header="851" w:footer="992" w:gutter="0"/>
          <w:pgNumType w:fmt="decimal"/>
          <w:cols w:space="425" w:num="1"/>
          <w:docGrid w:type="lines" w:linePitch="312" w:charSpace="0"/>
        </w:sectPr>
      </w:pPr>
      <w:r>
        <w:rPr>
          <w:rFonts w:hint="eastAsia"/>
          <w:color w:val="auto"/>
          <w:lang w:val="en-US" w:eastAsia="zh-CN"/>
        </w:rPr>
        <w:t>土壤监测结果见下表。</w:t>
      </w:r>
    </w:p>
    <w:p w14:paraId="1D235D3F">
      <w:pPr>
        <w:pStyle w:val="46"/>
        <w:bidi w:val="0"/>
        <w:rPr>
          <w:rFonts w:hint="default"/>
          <w:color w:val="auto"/>
          <w:lang w:val="en-US" w:eastAsia="zh-CN"/>
        </w:rPr>
      </w:pPr>
      <w:r>
        <w:rPr>
          <w:rFonts w:hint="eastAsia"/>
          <w:color w:val="auto"/>
          <w:lang w:val="en-US" w:eastAsia="zh-CN"/>
        </w:rPr>
        <w:t>表 2.5-3 土壤监测结果（表中只列出检出项）</w:t>
      </w:r>
    </w:p>
    <w:tbl>
      <w:tblPr>
        <w:tblStyle w:val="29"/>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37"/>
        <w:gridCol w:w="1056"/>
        <w:gridCol w:w="772"/>
        <w:gridCol w:w="772"/>
        <w:gridCol w:w="772"/>
        <w:gridCol w:w="772"/>
        <w:gridCol w:w="772"/>
        <w:gridCol w:w="772"/>
        <w:gridCol w:w="772"/>
        <w:gridCol w:w="772"/>
        <w:gridCol w:w="772"/>
        <w:gridCol w:w="772"/>
        <w:gridCol w:w="772"/>
        <w:gridCol w:w="773"/>
        <w:gridCol w:w="807"/>
      </w:tblGrid>
      <w:tr w14:paraId="7E711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1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C40E">
            <w:pPr>
              <w:pStyle w:val="45"/>
              <w:bidi w:val="0"/>
              <w:rPr>
                <w:rFonts w:hint="eastAsia"/>
                <w:color w:val="auto"/>
              </w:rPr>
            </w:pPr>
            <w:r>
              <w:rPr>
                <w:rFonts w:hint="eastAsia"/>
                <w:color w:val="auto"/>
                <w:lang w:val="en-US" w:eastAsia="zh-CN"/>
              </w:rPr>
              <w:t>采样点位</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50D6">
            <w:pPr>
              <w:pStyle w:val="45"/>
              <w:bidi w:val="0"/>
              <w:rPr>
                <w:rFonts w:hint="default"/>
                <w:color w:val="auto"/>
              </w:rPr>
            </w:pPr>
            <w:r>
              <w:rPr>
                <w:rFonts w:hint="default"/>
                <w:color w:val="auto"/>
                <w:lang w:val="en-US" w:eastAsia="zh-CN"/>
              </w:rPr>
              <w:t>T1-1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BC9C">
            <w:pPr>
              <w:pStyle w:val="45"/>
              <w:bidi w:val="0"/>
              <w:rPr>
                <w:rFonts w:hint="default"/>
                <w:color w:val="auto"/>
              </w:rPr>
            </w:pPr>
            <w:r>
              <w:rPr>
                <w:rFonts w:hint="default"/>
                <w:color w:val="auto"/>
                <w:lang w:val="en-US" w:eastAsia="zh-CN"/>
              </w:rPr>
              <w:t>T1-1P</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E68D1">
            <w:pPr>
              <w:pStyle w:val="45"/>
              <w:bidi w:val="0"/>
              <w:rPr>
                <w:rFonts w:hint="default"/>
                <w:color w:val="auto"/>
              </w:rPr>
            </w:pPr>
            <w:r>
              <w:rPr>
                <w:rFonts w:hint="default"/>
                <w:color w:val="auto"/>
                <w:lang w:val="en-US" w:eastAsia="zh-CN"/>
              </w:rPr>
              <w:t>T4-1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7E2F7">
            <w:pPr>
              <w:pStyle w:val="45"/>
              <w:bidi w:val="0"/>
              <w:rPr>
                <w:rFonts w:hint="default"/>
                <w:color w:val="auto"/>
              </w:rPr>
            </w:pPr>
            <w:r>
              <w:rPr>
                <w:rFonts w:hint="default"/>
                <w:color w:val="auto"/>
                <w:lang w:val="en-US" w:eastAsia="zh-CN"/>
              </w:rPr>
              <w:t>T5-1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0C141">
            <w:pPr>
              <w:pStyle w:val="45"/>
              <w:bidi w:val="0"/>
              <w:rPr>
                <w:rFonts w:hint="default"/>
                <w:color w:val="auto"/>
              </w:rPr>
            </w:pPr>
            <w:r>
              <w:rPr>
                <w:rFonts w:hint="default"/>
                <w:color w:val="auto"/>
                <w:lang w:val="en-US" w:eastAsia="zh-CN"/>
              </w:rPr>
              <w:t>T5-7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C3267">
            <w:pPr>
              <w:pStyle w:val="45"/>
              <w:bidi w:val="0"/>
              <w:rPr>
                <w:rFonts w:hint="default"/>
                <w:color w:val="auto"/>
              </w:rPr>
            </w:pPr>
            <w:r>
              <w:rPr>
                <w:rFonts w:hint="default"/>
                <w:color w:val="auto"/>
                <w:lang w:val="en-US" w:eastAsia="zh-CN"/>
              </w:rPr>
              <w:t>T5-7P</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9738">
            <w:pPr>
              <w:pStyle w:val="45"/>
              <w:bidi w:val="0"/>
              <w:rPr>
                <w:rFonts w:hint="default"/>
                <w:color w:val="auto"/>
              </w:rPr>
            </w:pPr>
            <w:r>
              <w:rPr>
                <w:rFonts w:hint="default"/>
                <w:color w:val="auto"/>
                <w:lang w:val="en-US" w:eastAsia="zh-CN"/>
              </w:rPr>
              <w:t>T5-9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D482">
            <w:pPr>
              <w:pStyle w:val="45"/>
              <w:bidi w:val="0"/>
              <w:rPr>
                <w:rFonts w:hint="default"/>
                <w:color w:val="auto"/>
              </w:rPr>
            </w:pPr>
            <w:r>
              <w:rPr>
                <w:rFonts w:hint="default"/>
                <w:color w:val="auto"/>
                <w:lang w:val="en-US" w:eastAsia="zh-CN"/>
              </w:rPr>
              <w:t>T6-1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76D3">
            <w:pPr>
              <w:pStyle w:val="45"/>
              <w:bidi w:val="0"/>
              <w:rPr>
                <w:rFonts w:hint="default"/>
                <w:color w:val="auto"/>
              </w:rPr>
            </w:pPr>
            <w:r>
              <w:rPr>
                <w:rFonts w:hint="default"/>
                <w:color w:val="auto"/>
                <w:lang w:val="en-US" w:eastAsia="zh-CN"/>
              </w:rPr>
              <w:t>T7-1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8CA53">
            <w:pPr>
              <w:pStyle w:val="45"/>
              <w:bidi w:val="0"/>
              <w:rPr>
                <w:rFonts w:hint="default"/>
                <w:color w:val="auto"/>
              </w:rPr>
            </w:pPr>
            <w:r>
              <w:rPr>
                <w:rFonts w:hint="default"/>
                <w:color w:val="auto"/>
                <w:lang w:val="en-US" w:eastAsia="zh-CN"/>
              </w:rPr>
              <w:t>T8-1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A93A">
            <w:pPr>
              <w:pStyle w:val="45"/>
              <w:bidi w:val="0"/>
              <w:rPr>
                <w:rFonts w:hint="default"/>
                <w:color w:val="auto"/>
              </w:rPr>
            </w:pPr>
            <w:r>
              <w:rPr>
                <w:rFonts w:hint="default"/>
                <w:color w:val="auto"/>
                <w:lang w:val="en-US" w:eastAsia="zh-CN"/>
              </w:rPr>
              <w:t>T9-1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BEF6">
            <w:pPr>
              <w:pStyle w:val="45"/>
              <w:bidi w:val="0"/>
              <w:rPr>
                <w:rFonts w:hint="default"/>
                <w:color w:val="auto"/>
              </w:rPr>
            </w:pPr>
            <w:r>
              <w:rPr>
                <w:rFonts w:hint="default"/>
                <w:color w:val="auto"/>
                <w:lang w:val="en-US" w:eastAsia="zh-CN"/>
              </w:rPr>
              <w:t>T10-1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D459">
            <w:pPr>
              <w:pStyle w:val="45"/>
              <w:bidi w:val="0"/>
              <w:rPr>
                <w:rFonts w:hint="default"/>
                <w:color w:val="auto"/>
              </w:rPr>
            </w:pPr>
            <w:r>
              <w:rPr>
                <w:rFonts w:hint="default"/>
                <w:color w:val="auto"/>
                <w:lang w:val="en-US" w:eastAsia="zh-CN"/>
              </w:rPr>
              <w:t>T11-1</w:t>
            </w:r>
          </w:p>
        </w:tc>
      </w:tr>
      <w:tr w14:paraId="4355C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1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46E4">
            <w:pPr>
              <w:pStyle w:val="45"/>
              <w:bidi w:val="0"/>
              <w:rPr>
                <w:rFonts w:hint="eastAsia"/>
                <w:color w:val="auto"/>
              </w:rPr>
            </w:pPr>
            <w:r>
              <w:rPr>
                <w:rFonts w:hint="eastAsia"/>
                <w:color w:val="auto"/>
                <w:lang w:val="en-US" w:eastAsia="zh-CN"/>
              </w:rPr>
              <w:t>采样深度</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3531">
            <w:pPr>
              <w:pStyle w:val="45"/>
              <w:bidi w:val="0"/>
              <w:rPr>
                <w:rFonts w:hint="default"/>
                <w:color w:val="auto"/>
              </w:rPr>
            </w:pPr>
            <w:r>
              <w:rPr>
                <w:rFonts w:hint="default"/>
                <w:color w:val="auto"/>
                <w:lang w:val="en-US" w:eastAsia="zh-CN"/>
              </w:rPr>
              <w:t>0.2m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5AF1">
            <w:pPr>
              <w:pStyle w:val="45"/>
              <w:bidi w:val="0"/>
              <w:rPr>
                <w:rFonts w:hint="default"/>
                <w:color w:val="auto"/>
              </w:rPr>
            </w:pPr>
            <w:r>
              <w:rPr>
                <w:rFonts w:hint="default"/>
                <w:color w:val="auto"/>
                <w:lang w:val="en-US" w:eastAsia="zh-CN"/>
              </w:rPr>
              <w:t>0.2m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827CB">
            <w:pPr>
              <w:pStyle w:val="45"/>
              <w:bidi w:val="0"/>
              <w:rPr>
                <w:rFonts w:hint="default"/>
                <w:color w:val="auto"/>
              </w:rPr>
            </w:pPr>
            <w:r>
              <w:rPr>
                <w:rFonts w:hint="default"/>
                <w:color w:val="auto"/>
                <w:lang w:val="en-US" w:eastAsia="zh-CN"/>
              </w:rPr>
              <w:t>0.2m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903E">
            <w:pPr>
              <w:pStyle w:val="45"/>
              <w:bidi w:val="0"/>
              <w:rPr>
                <w:rFonts w:hint="default"/>
                <w:color w:val="auto"/>
              </w:rPr>
            </w:pPr>
            <w:r>
              <w:rPr>
                <w:rFonts w:hint="default"/>
                <w:color w:val="auto"/>
                <w:lang w:val="en-US" w:eastAsia="zh-CN"/>
              </w:rPr>
              <w:t>0.5m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5403">
            <w:pPr>
              <w:pStyle w:val="45"/>
              <w:bidi w:val="0"/>
              <w:rPr>
                <w:rFonts w:hint="default"/>
                <w:color w:val="auto"/>
              </w:rPr>
            </w:pPr>
            <w:r>
              <w:rPr>
                <w:rFonts w:hint="default"/>
                <w:color w:val="auto"/>
                <w:lang w:val="en-US" w:eastAsia="zh-CN"/>
              </w:rPr>
              <w:t>3.5m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E7AB">
            <w:pPr>
              <w:pStyle w:val="45"/>
              <w:bidi w:val="0"/>
              <w:rPr>
                <w:rFonts w:hint="default"/>
                <w:color w:val="auto"/>
              </w:rPr>
            </w:pPr>
            <w:r>
              <w:rPr>
                <w:rFonts w:hint="default"/>
                <w:color w:val="auto"/>
                <w:lang w:val="en-US" w:eastAsia="zh-CN"/>
              </w:rPr>
              <w:t>3.5m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F212E">
            <w:pPr>
              <w:pStyle w:val="45"/>
              <w:bidi w:val="0"/>
              <w:rPr>
                <w:rFonts w:hint="default"/>
                <w:color w:val="auto"/>
              </w:rPr>
            </w:pPr>
            <w:r>
              <w:rPr>
                <w:rFonts w:hint="default"/>
                <w:color w:val="auto"/>
                <w:lang w:val="en-US" w:eastAsia="zh-CN"/>
              </w:rPr>
              <w:t>4.5m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8402">
            <w:pPr>
              <w:pStyle w:val="45"/>
              <w:bidi w:val="0"/>
              <w:rPr>
                <w:rFonts w:hint="default"/>
                <w:color w:val="auto"/>
              </w:rPr>
            </w:pPr>
            <w:r>
              <w:rPr>
                <w:rFonts w:hint="default"/>
                <w:color w:val="auto"/>
                <w:lang w:val="en-US" w:eastAsia="zh-CN"/>
              </w:rPr>
              <w:t>0.2m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E4DDE">
            <w:pPr>
              <w:pStyle w:val="45"/>
              <w:bidi w:val="0"/>
              <w:rPr>
                <w:rFonts w:hint="default"/>
                <w:color w:val="auto"/>
              </w:rPr>
            </w:pPr>
            <w:r>
              <w:rPr>
                <w:rFonts w:hint="default"/>
                <w:color w:val="auto"/>
                <w:lang w:val="en-US" w:eastAsia="zh-CN"/>
              </w:rPr>
              <w:t>0.2m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8A66">
            <w:pPr>
              <w:pStyle w:val="45"/>
              <w:bidi w:val="0"/>
              <w:rPr>
                <w:rFonts w:hint="default"/>
                <w:color w:val="auto"/>
              </w:rPr>
            </w:pPr>
            <w:r>
              <w:rPr>
                <w:rFonts w:hint="default"/>
                <w:color w:val="auto"/>
                <w:lang w:val="en-US" w:eastAsia="zh-CN"/>
              </w:rPr>
              <w:t>0.2m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40A7">
            <w:pPr>
              <w:pStyle w:val="45"/>
              <w:bidi w:val="0"/>
              <w:rPr>
                <w:rFonts w:hint="default"/>
                <w:color w:val="auto"/>
              </w:rPr>
            </w:pPr>
            <w:r>
              <w:rPr>
                <w:rFonts w:hint="default"/>
                <w:color w:val="auto"/>
                <w:lang w:val="en-US" w:eastAsia="zh-CN"/>
              </w:rPr>
              <w:t>0.2m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1A15">
            <w:pPr>
              <w:pStyle w:val="45"/>
              <w:bidi w:val="0"/>
              <w:rPr>
                <w:rFonts w:hint="default"/>
                <w:color w:val="auto"/>
              </w:rPr>
            </w:pPr>
            <w:r>
              <w:rPr>
                <w:rFonts w:hint="default"/>
                <w:color w:val="auto"/>
                <w:lang w:val="en-US" w:eastAsia="zh-CN"/>
              </w:rPr>
              <w:t>0.2m</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E408">
            <w:pPr>
              <w:pStyle w:val="45"/>
              <w:bidi w:val="0"/>
              <w:rPr>
                <w:rFonts w:hint="default"/>
                <w:color w:val="auto"/>
              </w:rPr>
            </w:pPr>
            <w:r>
              <w:rPr>
                <w:rFonts w:hint="default"/>
                <w:color w:val="auto"/>
                <w:lang w:val="en-US" w:eastAsia="zh-CN"/>
              </w:rPr>
              <w:t>0.2m</w:t>
            </w:r>
          </w:p>
        </w:tc>
      </w:tr>
      <w:tr w14:paraId="585D5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D96D">
            <w:pPr>
              <w:pStyle w:val="45"/>
              <w:bidi w:val="0"/>
              <w:rPr>
                <w:rFonts w:hint="eastAsia"/>
                <w:color w:val="auto"/>
              </w:rPr>
            </w:pPr>
            <w:r>
              <w:rPr>
                <w:rFonts w:hint="eastAsia"/>
                <w:color w:val="auto"/>
                <w:lang w:val="en-US" w:eastAsia="zh-CN"/>
              </w:rPr>
              <w:t>检测项目</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4AEC">
            <w:pPr>
              <w:pStyle w:val="45"/>
              <w:bidi w:val="0"/>
              <w:rPr>
                <w:rFonts w:hint="eastAsia"/>
                <w:color w:val="auto"/>
              </w:rPr>
            </w:pPr>
            <w:r>
              <w:rPr>
                <w:rFonts w:hint="eastAsia"/>
                <w:color w:val="auto"/>
                <w:lang w:val="en-US" w:eastAsia="zh-CN"/>
              </w:rPr>
              <w:t>参考标准</w:t>
            </w:r>
          </w:p>
        </w:tc>
        <w:tc>
          <w:tcPr>
            <w:tcW w:w="3821"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F8EB">
            <w:pPr>
              <w:pStyle w:val="45"/>
              <w:bidi w:val="0"/>
              <w:rPr>
                <w:rFonts w:hint="eastAsia"/>
                <w:color w:val="auto"/>
              </w:rPr>
            </w:pPr>
            <w:r>
              <w:rPr>
                <w:rFonts w:hint="eastAsia"/>
                <w:color w:val="auto"/>
                <w:lang w:val="en-US" w:eastAsia="zh-CN"/>
              </w:rPr>
              <w:t>检出结果</w:t>
            </w:r>
          </w:p>
        </w:tc>
      </w:tr>
      <w:tr w14:paraId="26926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7A77">
            <w:pPr>
              <w:pStyle w:val="45"/>
              <w:bidi w:val="0"/>
              <w:rPr>
                <w:rFonts w:hint="default"/>
                <w:color w:val="auto"/>
              </w:rPr>
            </w:pPr>
            <w:r>
              <w:rPr>
                <w:rFonts w:hint="default"/>
                <w:color w:val="auto"/>
                <w:lang w:val="en-US" w:eastAsia="zh-CN"/>
              </w:rPr>
              <w:t>pH</w:t>
            </w:r>
            <w:r>
              <w:rPr>
                <w:rFonts w:hint="eastAsia"/>
                <w:color w:val="auto"/>
                <w:lang w:val="en-US" w:eastAsia="zh-CN"/>
              </w:rPr>
              <w:t>值</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4198">
            <w:pPr>
              <w:pStyle w:val="45"/>
              <w:bidi w:val="0"/>
              <w:rPr>
                <w:rFonts w:hint="eastAsia" w:eastAsia="宋体"/>
                <w:color w:val="auto"/>
                <w:lang w:val="en-US" w:eastAsia="zh-CN"/>
              </w:rPr>
            </w:pPr>
            <w:r>
              <w:rPr>
                <w:rFonts w:hint="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668A">
            <w:pPr>
              <w:pStyle w:val="45"/>
              <w:bidi w:val="0"/>
              <w:rPr>
                <w:rFonts w:hint="default"/>
                <w:color w:val="auto"/>
              </w:rPr>
            </w:pPr>
            <w:r>
              <w:rPr>
                <w:rFonts w:hint="default"/>
                <w:color w:val="auto"/>
                <w:lang w:val="en-US" w:eastAsia="zh-CN"/>
              </w:rPr>
              <w:t>6.86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303F">
            <w:pPr>
              <w:pStyle w:val="45"/>
              <w:bidi w:val="0"/>
              <w:rPr>
                <w:rFonts w:hint="default"/>
                <w:color w:val="auto"/>
              </w:rPr>
            </w:pPr>
            <w:r>
              <w:rPr>
                <w:rFonts w:hint="default"/>
                <w:color w:val="auto"/>
                <w:lang w:val="en-US" w:eastAsia="zh-CN"/>
              </w:rPr>
              <w:t>6.86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D813">
            <w:pPr>
              <w:pStyle w:val="45"/>
              <w:bidi w:val="0"/>
              <w:rPr>
                <w:rFonts w:hint="default"/>
                <w:color w:val="auto"/>
              </w:rPr>
            </w:pPr>
            <w:r>
              <w:rPr>
                <w:rFonts w:hint="default"/>
                <w:color w:val="auto"/>
                <w:lang w:val="en-US" w:eastAsia="zh-CN"/>
              </w:rPr>
              <w:t>7.24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9F7F">
            <w:pPr>
              <w:pStyle w:val="45"/>
              <w:bidi w:val="0"/>
              <w:rPr>
                <w:rFonts w:hint="default"/>
                <w:color w:val="auto"/>
              </w:rPr>
            </w:pPr>
            <w:r>
              <w:rPr>
                <w:rFonts w:hint="default"/>
                <w:color w:val="auto"/>
                <w:lang w:val="en-US" w:eastAsia="zh-CN"/>
              </w:rPr>
              <w:t>7.11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E647B">
            <w:pPr>
              <w:pStyle w:val="45"/>
              <w:bidi w:val="0"/>
              <w:rPr>
                <w:rFonts w:hint="default"/>
                <w:color w:val="auto"/>
              </w:rPr>
            </w:pPr>
            <w:r>
              <w:rPr>
                <w:rFonts w:hint="default"/>
                <w:color w:val="auto"/>
                <w:lang w:val="en-US" w:eastAsia="zh-CN"/>
              </w:rPr>
              <w:t>6.94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6CC7">
            <w:pPr>
              <w:pStyle w:val="45"/>
              <w:bidi w:val="0"/>
              <w:rPr>
                <w:rFonts w:hint="default"/>
                <w:color w:val="auto"/>
              </w:rPr>
            </w:pPr>
            <w:r>
              <w:rPr>
                <w:rFonts w:hint="default"/>
                <w:color w:val="auto"/>
                <w:lang w:val="en-US" w:eastAsia="zh-CN"/>
              </w:rPr>
              <w:t>6.92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BB652">
            <w:pPr>
              <w:pStyle w:val="45"/>
              <w:bidi w:val="0"/>
              <w:rPr>
                <w:rFonts w:hint="default"/>
                <w:color w:val="auto"/>
              </w:rPr>
            </w:pPr>
            <w:r>
              <w:rPr>
                <w:rFonts w:hint="default"/>
                <w:color w:val="auto"/>
                <w:lang w:val="en-US" w:eastAsia="zh-CN"/>
              </w:rPr>
              <w:t>6.74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1614">
            <w:pPr>
              <w:pStyle w:val="45"/>
              <w:bidi w:val="0"/>
              <w:rPr>
                <w:rFonts w:hint="default"/>
                <w:color w:val="auto"/>
              </w:rPr>
            </w:pPr>
            <w:r>
              <w:rPr>
                <w:rFonts w:hint="default"/>
                <w:color w:val="auto"/>
                <w:lang w:val="en-US" w:eastAsia="zh-CN"/>
              </w:rPr>
              <w:t>7.05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23B51">
            <w:pPr>
              <w:pStyle w:val="45"/>
              <w:bidi w:val="0"/>
              <w:rPr>
                <w:rFonts w:hint="default"/>
                <w:color w:val="auto"/>
              </w:rPr>
            </w:pPr>
            <w:r>
              <w:rPr>
                <w:rFonts w:hint="default"/>
                <w:color w:val="auto"/>
                <w:lang w:val="en-US" w:eastAsia="zh-CN"/>
              </w:rPr>
              <w:t>7.16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695A">
            <w:pPr>
              <w:pStyle w:val="45"/>
              <w:bidi w:val="0"/>
              <w:rPr>
                <w:rFonts w:hint="default"/>
                <w:color w:val="auto"/>
              </w:rPr>
            </w:pPr>
            <w:r>
              <w:rPr>
                <w:rFonts w:hint="default"/>
                <w:color w:val="auto"/>
                <w:lang w:val="en-US" w:eastAsia="zh-CN"/>
              </w:rPr>
              <w:t>6.74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4237">
            <w:pPr>
              <w:pStyle w:val="45"/>
              <w:bidi w:val="0"/>
              <w:rPr>
                <w:rFonts w:hint="default"/>
                <w:color w:val="auto"/>
              </w:rPr>
            </w:pPr>
            <w:r>
              <w:rPr>
                <w:rFonts w:hint="default"/>
                <w:color w:val="auto"/>
                <w:lang w:val="en-US" w:eastAsia="zh-CN"/>
              </w:rPr>
              <w:t>7.06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A040">
            <w:pPr>
              <w:pStyle w:val="45"/>
              <w:bidi w:val="0"/>
              <w:rPr>
                <w:rFonts w:hint="default"/>
                <w:color w:val="auto"/>
              </w:rPr>
            </w:pPr>
            <w:r>
              <w:rPr>
                <w:rFonts w:hint="default"/>
                <w:color w:val="auto"/>
                <w:lang w:val="en-US" w:eastAsia="zh-CN"/>
              </w:rPr>
              <w:t>6.85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D3146">
            <w:pPr>
              <w:pStyle w:val="45"/>
              <w:bidi w:val="0"/>
              <w:rPr>
                <w:rFonts w:hint="default"/>
                <w:color w:val="auto"/>
              </w:rPr>
            </w:pPr>
            <w:r>
              <w:rPr>
                <w:rFonts w:hint="default"/>
                <w:color w:val="auto"/>
                <w:lang w:val="en-US" w:eastAsia="zh-CN"/>
              </w:rPr>
              <w:t>6.91</w:t>
            </w:r>
          </w:p>
        </w:tc>
      </w:tr>
      <w:tr w14:paraId="4416C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1435">
            <w:pPr>
              <w:pStyle w:val="45"/>
              <w:bidi w:val="0"/>
              <w:rPr>
                <w:rFonts w:hint="eastAsia"/>
                <w:color w:val="auto"/>
              </w:rPr>
            </w:pPr>
            <w:r>
              <w:rPr>
                <w:rFonts w:hint="eastAsia"/>
                <w:color w:val="auto"/>
                <w:lang w:val="en-US" w:eastAsia="zh-CN"/>
              </w:rPr>
              <w:t>砷（</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043B">
            <w:pPr>
              <w:pStyle w:val="45"/>
              <w:bidi w:val="0"/>
              <w:rPr>
                <w:rFonts w:hint="default"/>
                <w:color w:val="auto"/>
              </w:rPr>
            </w:pPr>
            <w:r>
              <w:rPr>
                <w:rFonts w:hint="default"/>
                <w:color w:val="auto"/>
                <w:lang w:val="en-US" w:eastAsia="zh-CN"/>
              </w:rPr>
              <w:t>60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4422">
            <w:pPr>
              <w:pStyle w:val="45"/>
              <w:bidi w:val="0"/>
              <w:rPr>
                <w:rFonts w:hint="default"/>
                <w:color w:val="auto"/>
              </w:rPr>
            </w:pPr>
            <w:r>
              <w:rPr>
                <w:rFonts w:hint="default"/>
                <w:color w:val="auto"/>
                <w:lang w:val="en-US" w:eastAsia="zh-CN"/>
              </w:rPr>
              <w:t>10.2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B101">
            <w:pPr>
              <w:pStyle w:val="45"/>
              <w:bidi w:val="0"/>
              <w:rPr>
                <w:rFonts w:hint="default"/>
                <w:color w:val="auto"/>
              </w:rPr>
            </w:pPr>
            <w:r>
              <w:rPr>
                <w:rFonts w:hint="default"/>
                <w:color w:val="auto"/>
                <w:lang w:val="en-US" w:eastAsia="zh-CN"/>
              </w:rPr>
              <w:t>10.4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52FC">
            <w:pPr>
              <w:pStyle w:val="45"/>
              <w:bidi w:val="0"/>
              <w:rPr>
                <w:rFonts w:hint="default"/>
                <w:color w:val="auto"/>
              </w:rPr>
            </w:pPr>
            <w:r>
              <w:rPr>
                <w:rFonts w:hint="default"/>
                <w:color w:val="auto"/>
                <w:lang w:val="en-US" w:eastAsia="zh-CN"/>
              </w:rPr>
              <w:t>7.04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74EC">
            <w:pPr>
              <w:pStyle w:val="45"/>
              <w:bidi w:val="0"/>
              <w:rPr>
                <w:rFonts w:hint="default"/>
                <w:color w:val="auto"/>
              </w:rPr>
            </w:pPr>
            <w:r>
              <w:rPr>
                <w:rFonts w:hint="default"/>
                <w:color w:val="auto"/>
                <w:lang w:val="en-US" w:eastAsia="zh-CN"/>
              </w:rPr>
              <w:t>9.13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E4E3A">
            <w:pPr>
              <w:pStyle w:val="45"/>
              <w:bidi w:val="0"/>
              <w:rPr>
                <w:rFonts w:hint="default"/>
                <w:color w:val="auto"/>
              </w:rPr>
            </w:pPr>
            <w:r>
              <w:rPr>
                <w:rFonts w:hint="default"/>
                <w:color w:val="auto"/>
                <w:lang w:val="en-US" w:eastAsia="zh-CN"/>
              </w:rPr>
              <w:t>4.96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C691">
            <w:pPr>
              <w:pStyle w:val="45"/>
              <w:bidi w:val="0"/>
              <w:rPr>
                <w:rFonts w:hint="default"/>
                <w:color w:val="auto"/>
              </w:rPr>
            </w:pPr>
            <w:r>
              <w:rPr>
                <w:rFonts w:hint="default"/>
                <w:color w:val="auto"/>
                <w:lang w:val="en-US" w:eastAsia="zh-CN"/>
              </w:rPr>
              <w:t>4.95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0C669">
            <w:pPr>
              <w:pStyle w:val="45"/>
              <w:bidi w:val="0"/>
              <w:rPr>
                <w:rFonts w:hint="default"/>
                <w:color w:val="auto"/>
              </w:rPr>
            </w:pPr>
            <w:r>
              <w:rPr>
                <w:rFonts w:hint="default"/>
                <w:color w:val="auto"/>
                <w:lang w:val="en-US" w:eastAsia="zh-CN"/>
              </w:rPr>
              <w:t>5.89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8F5C">
            <w:pPr>
              <w:pStyle w:val="45"/>
              <w:bidi w:val="0"/>
              <w:rPr>
                <w:rFonts w:hint="default"/>
                <w:color w:val="auto"/>
              </w:rPr>
            </w:pPr>
            <w:r>
              <w:rPr>
                <w:rFonts w:hint="default"/>
                <w:color w:val="auto"/>
                <w:lang w:val="en-US" w:eastAsia="zh-CN"/>
              </w:rPr>
              <w:t>8.67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76CE">
            <w:pPr>
              <w:pStyle w:val="45"/>
              <w:bidi w:val="0"/>
              <w:rPr>
                <w:rFonts w:hint="default"/>
                <w:color w:val="auto"/>
              </w:rPr>
            </w:pPr>
            <w:r>
              <w:rPr>
                <w:rFonts w:hint="default"/>
                <w:color w:val="auto"/>
                <w:lang w:val="en-US" w:eastAsia="zh-CN"/>
              </w:rPr>
              <w:t>7.72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DE62">
            <w:pPr>
              <w:pStyle w:val="45"/>
              <w:bidi w:val="0"/>
              <w:rPr>
                <w:rFonts w:hint="default"/>
                <w:color w:val="auto"/>
              </w:rPr>
            </w:pPr>
            <w:r>
              <w:rPr>
                <w:rFonts w:hint="default"/>
                <w:color w:val="auto"/>
                <w:lang w:val="en-US" w:eastAsia="zh-CN"/>
              </w:rPr>
              <w:t>8.95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F990">
            <w:pPr>
              <w:pStyle w:val="45"/>
              <w:bidi w:val="0"/>
              <w:rPr>
                <w:rFonts w:hint="default"/>
                <w:color w:val="auto"/>
              </w:rPr>
            </w:pPr>
            <w:r>
              <w:rPr>
                <w:rFonts w:hint="default"/>
                <w:color w:val="auto"/>
                <w:lang w:val="en-US" w:eastAsia="zh-CN"/>
              </w:rPr>
              <w:t>8.2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85F22">
            <w:pPr>
              <w:pStyle w:val="45"/>
              <w:bidi w:val="0"/>
              <w:rPr>
                <w:rFonts w:hint="default"/>
                <w:color w:val="auto"/>
              </w:rPr>
            </w:pPr>
            <w:r>
              <w:rPr>
                <w:rFonts w:hint="default"/>
                <w:color w:val="auto"/>
                <w:lang w:val="en-US" w:eastAsia="zh-CN"/>
              </w:rPr>
              <w:t>8.41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7A6D">
            <w:pPr>
              <w:pStyle w:val="45"/>
              <w:bidi w:val="0"/>
              <w:rPr>
                <w:rFonts w:hint="default"/>
                <w:color w:val="auto"/>
              </w:rPr>
            </w:pPr>
            <w:r>
              <w:rPr>
                <w:rFonts w:hint="default"/>
                <w:color w:val="auto"/>
                <w:lang w:val="en-US" w:eastAsia="zh-CN"/>
              </w:rPr>
              <w:t>4.66</w:t>
            </w:r>
          </w:p>
        </w:tc>
      </w:tr>
      <w:tr w14:paraId="7747C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5DDE">
            <w:pPr>
              <w:pStyle w:val="45"/>
              <w:bidi w:val="0"/>
              <w:rPr>
                <w:rFonts w:hint="eastAsia"/>
                <w:color w:val="auto"/>
              </w:rPr>
            </w:pPr>
            <w:r>
              <w:rPr>
                <w:rFonts w:hint="eastAsia"/>
                <w:color w:val="auto"/>
                <w:lang w:val="en-US" w:eastAsia="zh-CN"/>
              </w:rPr>
              <w:t>镉（</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871BA">
            <w:pPr>
              <w:pStyle w:val="45"/>
              <w:bidi w:val="0"/>
              <w:rPr>
                <w:rFonts w:hint="default"/>
                <w:color w:val="auto"/>
              </w:rPr>
            </w:pPr>
            <w:r>
              <w:rPr>
                <w:rFonts w:hint="default"/>
                <w:color w:val="auto"/>
                <w:lang w:val="en-US" w:eastAsia="zh-CN"/>
              </w:rPr>
              <w:t>65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4BB1">
            <w:pPr>
              <w:pStyle w:val="45"/>
              <w:bidi w:val="0"/>
              <w:rPr>
                <w:rFonts w:hint="default"/>
                <w:color w:val="auto"/>
              </w:rPr>
            </w:pPr>
            <w:r>
              <w:rPr>
                <w:rFonts w:hint="default"/>
                <w:color w:val="auto"/>
                <w:lang w:val="en-US" w:eastAsia="zh-CN"/>
              </w:rPr>
              <w:t>0.38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5A1EF">
            <w:pPr>
              <w:pStyle w:val="45"/>
              <w:bidi w:val="0"/>
              <w:rPr>
                <w:rFonts w:hint="default"/>
                <w:color w:val="auto"/>
              </w:rPr>
            </w:pPr>
            <w:r>
              <w:rPr>
                <w:rFonts w:hint="default"/>
                <w:color w:val="auto"/>
                <w:lang w:val="en-US" w:eastAsia="zh-CN"/>
              </w:rPr>
              <w:t>0.4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265F">
            <w:pPr>
              <w:pStyle w:val="45"/>
              <w:bidi w:val="0"/>
              <w:rPr>
                <w:rFonts w:hint="default"/>
                <w:color w:val="auto"/>
              </w:rPr>
            </w:pPr>
            <w:r>
              <w:rPr>
                <w:rFonts w:hint="default"/>
                <w:color w:val="auto"/>
                <w:lang w:val="en-US" w:eastAsia="zh-CN"/>
              </w:rPr>
              <w:t>0.29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599A">
            <w:pPr>
              <w:pStyle w:val="45"/>
              <w:bidi w:val="0"/>
              <w:rPr>
                <w:rFonts w:hint="default"/>
                <w:color w:val="auto"/>
              </w:rPr>
            </w:pPr>
            <w:r>
              <w:rPr>
                <w:rFonts w:hint="default"/>
                <w:color w:val="auto"/>
                <w:lang w:val="en-US" w:eastAsia="zh-CN"/>
              </w:rPr>
              <w:t>0.31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FD08">
            <w:pPr>
              <w:pStyle w:val="45"/>
              <w:bidi w:val="0"/>
              <w:rPr>
                <w:rFonts w:hint="default"/>
                <w:color w:val="auto"/>
              </w:rPr>
            </w:pPr>
            <w:r>
              <w:rPr>
                <w:rFonts w:hint="default"/>
                <w:color w:val="auto"/>
                <w:lang w:val="en-US" w:eastAsia="zh-CN"/>
              </w:rPr>
              <w:t>0.22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9BFA">
            <w:pPr>
              <w:pStyle w:val="45"/>
              <w:bidi w:val="0"/>
              <w:rPr>
                <w:rFonts w:hint="default"/>
                <w:color w:val="auto"/>
              </w:rPr>
            </w:pPr>
            <w:r>
              <w:rPr>
                <w:rFonts w:hint="default"/>
                <w:color w:val="auto"/>
                <w:lang w:val="en-US" w:eastAsia="zh-CN"/>
              </w:rPr>
              <w:t>0.25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5C7B">
            <w:pPr>
              <w:pStyle w:val="45"/>
              <w:bidi w:val="0"/>
              <w:rPr>
                <w:rFonts w:hint="default"/>
                <w:color w:val="auto"/>
              </w:rPr>
            </w:pPr>
            <w:r>
              <w:rPr>
                <w:rFonts w:hint="default"/>
                <w:color w:val="auto"/>
                <w:lang w:val="en-US" w:eastAsia="zh-CN"/>
              </w:rPr>
              <w:t>0.23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18BEF">
            <w:pPr>
              <w:pStyle w:val="45"/>
              <w:bidi w:val="0"/>
              <w:rPr>
                <w:rFonts w:hint="default"/>
                <w:color w:val="auto"/>
              </w:rPr>
            </w:pPr>
            <w:r>
              <w:rPr>
                <w:rFonts w:hint="default"/>
                <w:color w:val="auto"/>
                <w:lang w:val="en-US" w:eastAsia="zh-CN"/>
              </w:rPr>
              <w:t>0.33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7F78">
            <w:pPr>
              <w:pStyle w:val="45"/>
              <w:bidi w:val="0"/>
              <w:rPr>
                <w:rFonts w:hint="default"/>
                <w:color w:val="auto"/>
              </w:rPr>
            </w:pPr>
            <w:r>
              <w:rPr>
                <w:rFonts w:hint="default"/>
                <w:color w:val="auto"/>
                <w:lang w:val="en-US" w:eastAsia="zh-CN"/>
              </w:rPr>
              <w:t>0.34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487A">
            <w:pPr>
              <w:pStyle w:val="45"/>
              <w:bidi w:val="0"/>
              <w:rPr>
                <w:rFonts w:hint="default"/>
                <w:color w:val="auto"/>
              </w:rPr>
            </w:pPr>
            <w:r>
              <w:rPr>
                <w:rFonts w:hint="default"/>
                <w:color w:val="auto"/>
                <w:lang w:val="en-US" w:eastAsia="zh-CN"/>
              </w:rPr>
              <w:t>0.34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F60D">
            <w:pPr>
              <w:pStyle w:val="45"/>
              <w:bidi w:val="0"/>
              <w:rPr>
                <w:rFonts w:hint="default"/>
                <w:color w:val="auto"/>
              </w:rPr>
            </w:pPr>
            <w:r>
              <w:rPr>
                <w:rFonts w:hint="default"/>
                <w:color w:val="auto"/>
                <w:lang w:val="en-US" w:eastAsia="zh-CN"/>
              </w:rPr>
              <w:t>0.32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603F">
            <w:pPr>
              <w:pStyle w:val="45"/>
              <w:bidi w:val="0"/>
              <w:rPr>
                <w:rFonts w:hint="default"/>
                <w:color w:val="auto"/>
              </w:rPr>
            </w:pPr>
            <w:r>
              <w:rPr>
                <w:rFonts w:hint="default"/>
                <w:color w:val="auto"/>
                <w:lang w:val="en-US" w:eastAsia="zh-CN"/>
              </w:rPr>
              <w:t>0.37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BC6F">
            <w:pPr>
              <w:pStyle w:val="45"/>
              <w:bidi w:val="0"/>
              <w:rPr>
                <w:rFonts w:hint="default"/>
                <w:color w:val="auto"/>
              </w:rPr>
            </w:pPr>
            <w:r>
              <w:rPr>
                <w:rFonts w:hint="default"/>
                <w:color w:val="auto"/>
                <w:lang w:val="en-US" w:eastAsia="zh-CN"/>
              </w:rPr>
              <w:t>0.5</w:t>
            </w:r>
          </w:p>
        </w:tc>
      </w:tr>
      <w:tr w14:paraId="53F56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6F874">
            <w:pPr>
              <w:pStyle w:val="45"/>
              <w:bidi w:val="0"/>
              <w:rPr>
                <w:rFonts w:hint="eastAsia"/>
                <w:color w:val="auto"/>
              </w:rPr>
            </w:pPr>
            <w:r>
              <w:rPr>
                <w:rFonts w:hint="eastAsia"/>
                <w:color w:val="auto"/>
                <w:lang w:val="en-US" w:eastAsia="zh-CN"/>
              </w:rPr>
              <w:t>汞（</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B860">
            <w:pPr>
              <w:pStyle w:val="45"/>
              <w:bidi w:val="0"/>
              <w:rPr>
                <w:rFonts w:hint="default"/>
                <w:color w:val="auto"/>
              </w:rPr>
            </w:pPr>
            <w:r>
              <w:rPr>
                <w:rFonts w:hint="default"/>
                <w:color w:val="auto"/>
                <w:lang w:val="en-US" w:eastAsia="zh-CN"/>
              </w:rPr>
              <w:t>38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80745">
            <w:pPr>
              <w:pStyle w:val="45"/>
              <w:bidi w:val="0"/>
              <w:rPr>
                <w:rFonts w:hint="default"/>
                <w:color w:val="auto"/>
              </w:rPr>
            </w:pPr>
            <w:r>
              <w:rPr>
                <w:rFonts w:hint="default"/>
                <w:color w:val="auto"/>
                <w:lang w:val="en-US" w:eastAsia="zh-CN"/>
              </w:rPr>
              <w:t>0.15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2354">
            <w:pPr>
              <w:pStyle w:val="45"/>
              <w:bidi w:val="0"/>
              <w:rPr>
                <w:rFonts w:hint="default"/>
                <w:color w:val="auto"/>
              </w:rPr>
            </w:pPr>
            <w:r>
              <w:rPr>
                <w:rFonts w:hint="default"/>
                <w:color w:val="auto"/>
                <w:lang w:val="en-US" w:eastAsia="zh-CN"/>
              </w:rPr>
              <w:t>0.148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FB2A">
            <w:pPr>
              <w:pStyle w:val="45"/>
              <w:bidi w:val="0"/>
              <w:rPr>
                <w:rFonts w:hint="default"/>
                <w:color w:val="auto"/>
              </w:rPr>
            </w:pPr>
            <w:r>
              <w:rPr>
                <w:rFonts w:hint="default"/>
                <w:color w:val="auto"/>
                <w:lang w:val="en-US" w:eastAsia="zh-CN"/>
              </w:rPr>
              <w:t>0.022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F5D52">
            <w:pPr>
              <w:pStyle w:val="45"/>
              <w:bidi w:val="0"/>
              <w:rPr>
                <w:rFonts w:hint="default"/>
                <w:color w:val="auto"/>
              </w:rPr>
            </w:pPr>
            <w:r>
              <w:rPr>
                <w:rFonts w:hint="default"/>
                <w:color w:val="auto"/>
                <w:lang w:val="en-US" w:eastAsia="zh-CN"/>
              </w:rPr>
              <w:t>0.083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9156">
            <w:pPr>
              <w:pStyle w:val="45"/>
              <w:bidi w:val="0"/>
              <w:rPr>
                <w:rFonts w:hint="default"/>
                <w:color w:val="auto"/>
              </w:rPr>
            </w:pPr>
            <w:r>
              <w:rPr>
                <w:rFonts w:hint="default"/>
                <w:color w:val="auto"/>
                <w:lang w:val="en-US" w:eastAsia="zh-CN"/>
              </w:rPr>
              <w:t>0.063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4769">
            <w:pPr>
              <w:pStyle w:val="45"/>
              <w:bidi w:val="0"/>
              <w:rPr>
                <w:rFonts w:hint="default"/>
                <w:color w:val="auto"/>
              </w:rPr>
            </w:pPr>
            <w:r>
              <w:rPr>
                <w:rFonts w:hint="default"/>
                <w:color w:val="auto"/>
                <w:lang w:val="en-US" w:eastAsia="zh-CN"/>
              </w:rPr>
              <w:t>0.057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1C816">
            <w:pPr>
              <w:pStyle w:val="45"/>
              <w:bidi w:val="0"/>
              <w:rPr>
                <w:rFonts w:hint="default"/>
                <w:color w:val="auto"/>
              </w:rPr>
            </w:pPr>
            <w:r>
              <w:rPr>
                <w:rFonts w:hint="default"/>
                <w:color w:val="auto"/>
                <w:lang w:val="en-US" w:eastAsia="zh-CN"/>
              </w:rPr>
              <w:t>0.074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2529">
            <w:pPr>
              <w:pStyle w:val="45"/>
              <w:bidi w:val="0"/>
              <w:rPr>
                <w:rFonts w:hint="default"/>
                <w:color w:val="auto"/>
              </w:rPr>
            </w:pPr>
            <w:r>
              <w:rPr>
                <w:rFonts w:hint="default"/>
                <w:color w:val="auto"/>
                <w:lang w:val="en-US" w:eastAsia="zh-CN"/>
              </w:rPr>
              <w:t>0.079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A38A">
            <w:pPr>
              <w:pStyle w:val="45"/>
              <w:bidi w:val="0"/>
              <w:rPr>
                <w:rFonts w:hint="default"/>
                <w:color w:val="auto"/>
              </w:rPr>
            </w:pPr>
            <w:r>
              <w:rPr>
                <w:rFonts w:hint="default"/>
                <w:color w:val="auto"/>
                <w:lang w:val="en-US" w:eastAsia="zh-CN"/>
              </w:rPr>
              <w:t>0.042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9F4F">
            <w:pPr>
              <w:pStyle w:val="45"/>
              <w:bidi w:val="0"/>
              <w:rPr>
                <w:rFonts w:hint="default"/>
                <w:color w:val="auto"/>
              </w:rPr>
            </w:pPr>
            <w:r>
              <w:rPr>
                <w:rFonts w:hint="default"/>
                <w:color w:val="auto"/>
                <w:lang w:val="en-US" w:eastAsia="zh-CN"/>
              </w:rPr>
              <w:t>0.163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6E777">
            <w:pPr>
              <w:pStyle w:val="45"/>
              <w:bidi w:val="0"/>
              <w:rPr>
                <w:rFonts w:hint="default"/>
                <w:color w:val="auto"/>
              </w:rPr>
            </w:pPr>
            <w:r>
              <w:rPr>
                <w:rFonts w:hint="default"/>
                <w:color w:val="auto"/>
                <w:lang w:val="en-US" w:eastAsia="zh-CN"/>
              </w:rPr>
              <w:t>0.085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E0AAA">
            <w:pPr>
              <w:pStyle w:val="45"/>
              <w:bidi w:val="0"/>
              <w:rPr>
                <w:rFonts w:hint="default"/>
                <w:color w:val="auto"/>
              </w:rPr>
            </w:pPr>
            <w:r>
              <w:rPr>
                <w:rFonts w:hint="default"/>
                <w:color w:val="auto"/>
                <w:lang w:val="en-US" w:eastAsia="zh-CN"/>
              </w:rPr>
              <w:t>0.1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7E31">
            <w:pPr>
              <w:pStyle w:val="45"/>
              <w:bidi w:val="0"/>
              <w:rPr>
                <w:rFonts w:hint="default"/>
                <w:color w:val="auto"/>
              </w:rPr>
            </w:pPr>
            <w:r>
              <w:rPr>
                <w:rFonts w:hint="default"/>
                <w:color w:val="auto"/>
                <w:lang w:val="en-US" w:eastAsia="zh-CN"/>
              </w:rPr>
              <w:t>0.176</w:t>
            </w:r>
          </w:p>
        </w:tc>
      </w:tr>
      <w:tr w14:paraId="237A7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9832">
            <w:pPr>
              <w:pStyle w:val="45"/>
              <w:bidi w:val="0"/>
              <w:rPr>
                <w:rFonts w:hint="eastAsia"/>
                <w:color w:val="auto"/>
              </w:rPr>
            </w:pPr>
            <w:r>
              <w:rPr>
                <w:rFonts w:hint="eastAsia"/>
                <w:color w:val="auto"/>
                <w:lang w:val="en-US" w:eastAsia="zh-CN"/>
              </w:rPr>
              <w:t>铅（</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E6C7">
            <w:pPr>
              <w:pStyle w:val="45"/>
              <w:bidi w:val="0"/>
              <w:rPr>
                <w:rFonts w:hint="default"/>
                <w:color w:val="auto"/>
              </w:rPr>
            </w:pPr>
            <w:r>
              <w:rPr>
                <w:rFonts w:hint="default"/>
                <w:color w:val="auto"/>
                <w:lang w:val="en-US" w:eastAsia="zh-CN"/>
              </w:rPr>
              <w:t>800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D58E">
            <w:pPr>
              <w:pStyle w:val="45"/>
              <w:bidi w:val="0"/>
              <w:rPr>
                <w:rFonts w:hint="default"/>
                <w:color w:val="auto"/>
              </w:rPr>
            </w:pPr>
            <w:r>
              <w:rPr>
                <w:rFonts w:hint="default"/>
                <w:color w:val="auto"/>
                <w:lang w:val="en-US" w:eastAsia="zh-CN"/>
              </w:rPr>
              <w:t>14.4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B9916">
            <w:pPr>
              <w:pStyle w:val="45"/>
              <w:bidi w:val="0"/>
              <w:rPr>
                <w:rFonts w:hint="default"/>
                <w:color w:val="auto"/>
              </w:rPr>
            </w:pPr>
            <w:r>
              <w:rPr>
                <w:rFonts w:hint="default"/>
                <w:color w:val="auto"/>
                <w:lang w:val="en-US" w:eastAsia="zh-CN"/>
              </w:rPr>
              <w:t>13.1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2CF2">
            <w:pPr>
              <w:pStyle w:val="45"/>
              <w:bidi w:val="0"/>
              <w:rPr>
                <w:rFonts w:hint="default"/>
                <w:color w:val="auto"/>
              </w:rPr>
            </w:pPr>
            <w:r>
              <w:rPr>
                <w:rFonts w:hint="default"/>
                <w:color w:val="auto"/>
                <w:lang w:val="en-US" w:eastAsia="zh-CN"/>
              </w:rPr>
              <w:t>13.2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7FF8D">
            <w:pPr>
              <w:pStyle w:val="45"/>
              <w:bidi w:val="0"/>
              <w:rPr>
                <w:rFonts w:hint="default"/>
                <w:color w:val="auto"/>
              </w:rPr>
            </w:pPr>
            <w:r>
              <w:rPr>
                <w:rFonts w:hint="default"/>
                <w:color w:val="auto"/>
                <w:lang w:val="en-US" w:eastAsia="zh-CN"/>
              </w:rPr>
              <w:t>14.4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A488">
            <w:pPr>
              <w:pStyle w:val="45"/>
              <w:bidi w:val="0"/>
              <w:rPr>
                <w:rFonts w:hint="default"/>
                <w:color w:val="auto"/>
              </w:rPr>
            </w:pPr>
            <w:r>
              <w:rPr>
                <w:rFonts w:hint="default"/>
                <w:color w:val="auto"/>
                <w:lang w:val="en-US" w:eastAsia="zh-CN"/>
              </w:rPr>
              <w:t>14.8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16D8">
            <w:pPr>
              <w:pStyle w:val="45"/>
              <w:bidi w:val="0"/>
              <w:rPr>
                <w:rFonts w:hint="default"/>
                <w:color w:val="auto"/>
              </w:rPr>
            </w:pPr>
            <w:r>
              <w:rPr>
                <w:rFonts w:hint="default"/>
                <w:color w:val="auto"/>
                <w:lang w:val="en-US" w:eastAsia="zh-CN"/>
              </w:rPr>
              <w:t>8.9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A7CD4">
            <w:pPr>
              <w:pStyle w:val="45"/>
              <w:bidi w:val="0"/>
              <w:rPr>
                <w:rFonts w:hint="default"/>
                <w:color w:val="auto"/>
              </w:rPr>
            </w:pPr>
            <w:r>
              <w:rPr>
                <w:rFonts w:hint="default"/>
                <w:color w:val="auto"/>
                <w:lang w:val="en-US" w:eastAsia="zh-CN"/>
              </w:rPr>
              <w:t>8.9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CE33">
            <w:pPr>
              <w:pStyle w:val="45"/>
              <w:bidi w:val="0"/>
              <w:rPr>
                <w:rFonts w:hint="default"/>
                <w:color w:val="auto"/>
              </w:rPr>
            </w:pPr>
            <w:r>
              <w:rPr>
                <w:rFonts w:hint="default"/>
                <w:color w:val="auto"/>
                <w:lang w:val="en-US" w:eastAsia="zh-CN"/>
              </w:rPr>
              <w:t>15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8B3F7">
            <w:pPr>
              <w:pStyle w:val="45"/>
              <w:bidi w:val="0"/>
              <w:rPr>
                <w:rFonts w:hint="default"/>
                <w:color w:val="auto"/>
              </w:rPr>
            </w:pPr>
            <w:r>
              <w:rPr>
                <w:rFonts w:hint="default"/>
                <w:color w:val="auto"/>
                <w:lang w:val="en-US" w:eastAsia="zh-CN"/>
              </w:rPr>
              <w:t>15.4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51B4">
            <w:pPr>
              <w:pStyle w:val="45"/>
              <w:bidi w:val="0"/>
              <w:rPr>
                <w:rFonts w:hint="default"/>
                <w:color w:val="auto"/>
              </w:rPr>
            </w:pPr>
            <w:r>
              <w:rPr>
                <w:rFonts w:hint="default"/>
                <w:color w:val="auto"/>
                <w:lang w:val="en-US" w:eastAsia="zh-CN"/>
              </w:rPr>
              <w:t>16.9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D552">
            <w:pPr>
              <w:pStyle w:val="45"/>
              <w:bidi w:val="0"/>
              <w:rPr>
                <w:rFonts w:hint="default"/>
                <w:color w:val="auto"/>
              </w:rPr>
            </w:pPr>
            <w:r>
              <w:rPr>
                <w:rFonts w:hint="default"/>
                <w:color w:val="auto"/>
                <w:lang w:val="en-US" w:eastAsia="zh-CN"/>
              </w:rPr>
              <w:t>15.2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083DA">
            <w:pPr>
              <w:pStyle w:val="45"/>
              <w:bidi w:val="0"/>
              <w:rPr>
                <w:rFonts w:hint="default"/>
                <w:color w:val="auto"/>
              </w:rPr>
            </w:pPr>
            <w:r>
              <w:rPr>
                <w:rFonts w:hint="default"/>
                <w:color w:val="auto"/>
                <w:lang w:val="en-US" w:eastAsia="zh-CN"/>
              </w:rPr>
              <w:t>16.9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84BC">
            <w:pPr>
              <w:pStyle w:val="45"/>
              <w:bidi w:val="0"/>
              <w:rPr>
                <w:rFonts w:hint="default"/>
                <w:color w:val="auto"/>
              </w:rPr>
            </w:pPr>
            <w:r>
              <w:rPr>
                <w:rFonts w:hint="default"/>
                <w:color w:val="auto"/>
                <w:lang w:val="en-US" w:eastAsia="zh-CN"/>
              </w:rPr>
              <w:t>17.8</w:t>
            </w:r>
          </w:p>
        </w:tc>
      </w:tr>
      <w:tr w14:paraId="0082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92D4">
            <w:pPr>
              <w:pStyle w:val="45"/>
              <w:bidi w:val="0"/>
              <w:rPr>
                <w:rFonts w:hint="eastAsia"/>
                <w:color w:val="auto"/>
              </w:rPr>
            </w:pPr>
            <w:r>
              <w:rPr>
                <w:rFonts w:hint="eastAsia"/>
                <w:color w:val="auto"/>
                <w:lang w:val="en-US" w:eastAsia="zh-CN"/>
              </w:rPr>
              <w:t>镍（</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9631">
            <w:pPr>
              <w:pStyle w:val="45"/>
              <w:bidi w:val="0"/>
              <w:rPr>
                <w:rFonts w:hint="default"/>
                <w:color w:val="auto"/>
              </w:rPr>
            </w:pPr>
            <w:r>
              <w:rPr>
                <w:rFonts w:hint="default"/>
                <w:color w:val="auto"/>
                <w:lang w:val="en-US" w:eastAsia="zh-CN"/>
              </w:rPr>
              <w:t>900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6368">
            <w:pPr>
              <w:pStyle w:val="45"/>
              <w:bidi w:val="0"/>
              <w:rPr>
                <w:rFonts w:hint="default"/>
                <w:color w:val="auto"/>
              </w:rPr>
            </w:pPr>
            <w:r>
              <w:rPr>
                <w:rFonts w:hint="default"/>
                <w:color w:val="auto"/>
                <w:lang w:val="en-US" w:eastAsia="zh-CN"/>
              </w:rPr>
              <w:t>32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64DE">
            <w:pPr>
              <w:pStyle w:val="45"/>
              <w:bidi w:val="0"/>
              <w:rPr>
                <w:rFonts w:hint="default"/>
                <w:color w:val="auto"/>
              </w:rPr>
            </w:pPr>
            <w:r>
              <w:rPr>
                <w:rFonts w:hint="default"/>
                <w:color w:val="auto"/>
                <w:lang w:val="en-US" w:eastAsia="zh-CN"/>
              </w:rPr>
              <w:t>34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8519">
            <w:pPr>
              <w:pStyle w:val="45"/>
              <w:bidi w:val="0"/>
              <w:rPr>
                <w:rFonts w:hint="default"/>
                <w:color w:val="auto"/>
              </w:rPr>
            </w:pPr>
            <w:r>
              <w:rPr>
                <w:rFonts w:hint="default"/>
                <w:color w:val="auto"/>
                <w:lang w:val="en-US" w:eastAsia="zh-CN"/>
              </w:rPr>
              <w:t>30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C54B">
            <w:pPr>
              <w:pStyle w:val="45"/>
              <w:bidi w:val="0"/>
              <w:rPr>
                <w:rFonts w:hint="default"/>
                <w:color w:val="auto"/>
              </w:rPr>
            </w:pPr>
            <w:r>
              <w:rPr>
                <w:rFonts w:hint="default"/>
                <w:color w:val="auto"/>
                <w:lang w:val="en-US" w:eastAsia="zh-CN"/>
              </w:rPr>
              <w:t>35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3E4B">
            <w:pPr>
              <w:pStyle w:val="45"/>
              <w:bidi w:val="0"/>
              <w:rPr>
                <w:rFonts w:hint="default"/>
                <w:color w:val="auto"/>
              </w:rPr>
            </w:pPr>
            <w:r>
              <w:rPr>
                <w:rFonts w:hint="default"/>
                <w:color w:val="auto"/>
                <w:lang w:val="en-US" w:eastAsia="zh-CN"/>
              </w:rPr>
              <w:t>27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A2007">
            <w:pPr>
              <w:pStyle w:val="45"/>
              <w:bidi w:val="0"/>
              <w:rPr>
                <w:rFonts w:hint="default"/>
                <w:color w:val="auto"/>
              </w:rPr>
            </w:pPr>
            <w:r>
              <w:rPr>
                <w:rFonts w:hint="default"/>
                <w:color w:val="auto"/>
                <w:lang w:val="en-US" w:eastAsia="zh-CN"/>
              </w:rPr>
              <w:t>26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4635B">
            <w:pPr>
              <w:pStyle w:val="45"/>
              <w:bidi w:val="0"/>
              <w:rPr>
                <w:rFonts w:hint="default"/>
                <w:color w:val="auto"/>
              </w:rPr>
            </w:pPr>
            <w:r>
              <w:rPr>
                <w:rFonts w:hint="default"/>
                <w:color w:val="auto"/>
                <w:lang w:val="en-US" w:eastAsia="zh-CN"/>
              </w:rPr>
              <w:t>27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E0B20">
            <w:pPr>
              <w:pStyle w:val="45"/>
              <w:bidi w:val="0"/>
              <w:rPr>
                <w:rFonts w:hint="default"/>
                <w:color w:val="auto"/>
              </w:rPr>
            </w:pPr>
            <w:r>
              <w:rPr>
                <w:rFonts w:hint="default"/>
                <w:color w:val="auto"/>
                <w:lang w:val="en-US" w:eastAsia="zh-CN"/>
              </w:rPr>
              <w:t>34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AD17">
            <w:pPr>
              <w:pStyle w:val="45"/>
              <w:bidi w:val="0"/>
              <w:rPr>
                <w:rFonts w:hint="default"/>
                <w:color w:val="auto"/>
              </w:rPr>
            </w:pPr>
            <w:r>
              <w:rPr>
                <w:rFonts w:hint="default"/>
                <w:color w:val="auto"/>
                <w:lang w:val="en-US" w:eastAsia="zh-CN"/>
              </w:rPr>
              <w:t>33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8392">
            <w:pPr>
              <w:pStyle w:val="45"/>
              <w:bidi w:val="0"/>
              <w:rPr>
                <w:rFonts w:hint="default"/>
                <w:color w:val="auto"/>
              </w:rPr>
            </w:pPr>
            <w:r>
              <w:rPr>
                <w:rFonts w:hint="default"/>
                <w:color w:val="auto"/>
                <w:lang w:val="en-US" w:eastAsia="zh-CN"/>
              </w:rPr>
              <w:t>52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70F1">
            <w:pPr>
              <w:pStyle w:val="45"/>
              <w:bidi w:val="0"/>
              <w:rPr>
                <w:rFonts w:hint="default"/>
                <w:color w:val="auto"/>
              </w:rPr>
            </w:pPr>
            <w:r>
              <w:rPr>
                <w:rFonts w:hint="default"/>
                <w:color w:val="auto"/>
                <w:lang w:val="en-US" w:eastAsia="zh-CN"/>
              </w:rPr>
              <w:t>36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1909">
            <w:pPr>
              <w:pStyle w:val="45"/>
              <w:bidi w:val="0"/>
              <w:rPr>
                <w:rFonts w:hint="default"/>
                <w:color w:val="auto"/>
              </w:rPr>
            </w:pPr>
            <w:r>
              <w:rPr>
                <w:rFonts w:hint="default"/>
                <w:color w:val="auto"/>
                <w:lang w:val="en-US" w:eastAsia="zh-CN"/>
              </w:rPr>
              <w:t>35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7A8C">
            <w:pPr>
              <w:pStyle w:val="45"/>
              <w:bidi w:val="0"/>
              <w:rPr>
                <w:rFonts w:hint="default"/>
                <w:color w:val="auto"/>
              </w:rPr>
            </w:pPr>
            <w:r>
              <w:rPr>
                <w:rFonts w:hint="default"/>
                <w:color w:val="auto"/>
                <w:lang w:val="en-US" w:eastAsia="zh-CN"/>
              </w:rPr>
              <w:t>26</w:t>
            </w:r>
          </w:p>
        </w:tc>
      </w:tr>
      <w:tr w14:paraId="252DB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7624">
            <w:pPr>
              <w:pStyle w:val="45"/>
              <w:bidi w:val="0"/>
              <w:rPr>
                <w:rFonts w:hint="eastAsia"/>
                <w:color w:val="auto"/>
              </w:rPr>
            </w:pPr>
            <w:r>
              <w:rPr>
                <w:rFonts w:hint="eastAsia"/>
                <w:color w:val="auto"/>
                <w:lang w:val="en-US" w:eastAsia="zh-CN"/>
              </w:rPr>
              <w:t>铜（</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1E65">
            <w:pPr>
              <w:pStyle w:val="45"/>
              <w:bidi w:val="0"/>
              <w:rPr>
                <w:rFonts w:hint="default"/>
                <w:color w:val="auto"/>
              </w:rPr>
            </w:pPr>
            <w:r>
              <w:rPr>
                <w:rFonts w:hint="default"/>
                <w:color w:val="auto"/>
                <w:lang w:val="en-US" w:eastAsia="zh-CN"/>
              </w:rPr>
              <w:t>18000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9CFE">
            <w:pPr>
              <w:pStyle w:val="45"/>
              <w:bidi w:val="0"/>
              <w:rPr>
                <w:rFonts w:hint="default"/>
                <w:color w:val="auto"/>
              </w:rPr>
            </w:pPr>
            <w:r>
              <w:rPr>
                <w:rFonts w:hint="default"/>
                <w:color w:val="auto"/>
                <w:lang w:val="en-US" w:eastAsia="zh-CN"/>
              </w:rPr>
              <w:t>36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1651">
            <w:pPr>
              <w:pStyle w:val="45"/>
              <w:bidi w:val="0"/>
              <w:rPr>
                <w:rFonts w:hint="default"/>
                <w:color w:val="auto"/>
              </w:rPr>
            </w:pPr>
            <w:r>
              <w:rPr>
                <w:rFonts w:hint="default"/>
                <w:color w:val="auto"/>
                <w:lang w:val="en-US" w:eastAsia="zh-CN"/>
              </w:rPr>
              <w:t>37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A3B5">
            <w:pPr>
              <w:pStyle w:val="45"/>
              <w:bidi w:val="0"/>
              <w:rPr>
                <w:rFonts w:hint="default"/>
                <w:color w:val="auto"/>
              </w:rPr>
            </w:pPr>
            <w:r>
              <w:rPr>
                <w:rFonts w:hint="default"/>
                <w:color w:val="auto"/>
                <w:lang w:val="en-US" w:eastAsia="zh-CN"/>
              </w:rPr>
              <w:t>31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EAEA">
            <w:pPr>
              <w:pStyle w:val="45"/>
              <w:bidi w:val="0"/>
              <w:rPr>
                <w:rFonts w:hint="default"/>
                <w:color w:val="auto"/>
              </w:rPr>
            </w:pPr>
            <w:r>
              <w:rPr>
                <w:rFonts w:hint="default"/>
                <w:color w:val="auto"/>
                <w:lang w:val="en-US" w:eastAsia="zh-CN"/>
              </w:rPr>
              <w:t>47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498C1">
            <w:pPr>
              <w:pStyle w:val="45"/>
              <w:bidi w:val="0"/>
              <w:rPr>
                <w:rFonts w:hint="default"/>
                <w:color w:val="auto"/>
              </w:rPr>
            </w:pPr>
            <w:r>
              <w:rPr>
                <w:rFonts w:hint="default"/>
                <w:color w:val="auto"/>
                <w:lang w:val="en-US" w:eastAsia="zh-CN"/>
              </w:rPr>
              <w:t>25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392D">
            <w:pPr>
              <w:pStyle w:val="45"/>
              <w:bidi w:val="0"/>
              <w:rPr>
                <w:rFonts w:hint="default"/>
                <w:color w:val="auto"/>
              </w:rPr>
            </w:pPr>
            <w:r>
              <w:rPr>
                <w:rFonts w:hint="default"/>
                <w:color w:val="auto"/>
                <w:lang w:val="en-US" w:eastAsia="zh-CN"/>
              </w:rPr>
              <w:t>25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ABB9">
            <w:pPr>
              <w:pStyle w:val="45"/>
              <w:bidi w:val="0"/>
              <w:rPr>
                <w:rFonts w:hint="default"/>
                <w:color w:val="auto"/>
              </w:rPr>
            </w:pPr>
            <w:r>
              <w:rPr>
                <w:rFonts w:hint="default"/>
                <w:color w:val="auto"/>
                <w:lang w:val="en-US" w:eastAsia="zh-CN"/>
              </w:rPr>
              <w:t>28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D7E7">
            <w:pPr>
              <w:pStyle w:val="45"/>
              <w:bidi w:val="0"/>
              <w:rPr>
                <w:rFonts w:hint="default"/>
                <w:color w:val="auto"/>
              </w:rPr>
            </w:pPr>
            <w:r>
              <w:rPr>
                <w:rFonts w:hint="default"/>
                <w:color w:val="auto"/>
                <w:lang w:val="en-US" w:eastAsia="zh-CN"/>
              </w:rPr>
              <w:t>39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9ED7">
            <w:pPr>
              <w:pStyle w:val="45"/>
              <w:bidi w:val="0"/>
              <w:rPr>
                <w:rFonts w:hint="default"/>
                <w:color w:val="auto"/>
              </w:rPr>
            </w:pPr>
            <w:r>
              <w:rPr>
                <w:rFonts w:hint="default"/>
                <w:color w:val="auto"/>
                <w:lang w:val="en-US" w:eastAsia="zh-CN"/>
              </w:rPr>
              <w:t>37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59978">
            <w:pPr>
              <w:pStyle w:val="45"/>
              <w:bidi w:val="0"/>
              <w:rPr>
                <w:rFonts w:hint="default"/>
                <w:color w:val="auto"/>
              </w:rPr>
            </w:pPr>
            <w:r>
              <w:rPr>
                <w:rFonts w:hint="default"/>
                <w:color w:val="auto"/>
                <w:lang w:val="en-US" w:eastAsia="zh-CN"/>
              </w:rPr>
              <w:t>42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C65DB">
            <w:pPr>
              <w:pStyle w:val="45"/>
              <w:bidi w:val="0"/>
              <w:rPr>
                <w:rFonts w:hint="default"/>
                <w:color w:val="auto"/>
              </w:rPr>
            </w:pPr>
            <w:r>
              <w:rPr>
                <w:rFonts w:hint="default"/>
                <w:color w:val="auto"/>
                <w:lang w:val="en-US" w:eastAsia="zh-CN"/>
              </w:rPr>
              <w:t>41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1ECD">
            <w:pPr>
              <w:pStyle w:val="45"/>
              <w:bidi w:val="0"/>
              <w:rPr>
                <w:rFonts w:hint="default"/>
                <w:color w:val="auto"/>
              </w:rPr>
            </w:pPr>
            <w:r>
              <w:rPr>
                <w:rFonts w:hint="default"/>
                <w:color w:val="auto"/>
                <w:lang w:val="en-US" w:eastAsia="zh-CN"/>
              </w:rPr>
              <w:t>44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A04D0">
            <w:pPr>
              <w:pStyle w:val="45"/>
              <w:bidi w:val="0"/>
              <w:rPr>
                <w:rFonts w:hint="default"/>
                <w:color w:val="auto"/>
              </w:rPr>
            </w:pPr>
            <w:r>
              <w:rPr>
                <w:rFonts w:hint="default"/>
                <w:color w:val="auto"/>
                <w:lang w:val="en-US" w:eastAsia="zh-CN"/>
              </w:rPr>
              <w:t>22</w:t>
            </w:r>
          </w:p>
        </w:tc>
      </w:tr>
      <w:tr w14:paraId="5046C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B6D9E">
            <w:pPr>
              <w:pStyle w:val="45"/>
              <w:bidi w:val="0"/>
              <w:rPr>
                <w:rFonts w:hint="eastAsia"/>
                <w:color w:val="auto"/>
              </w:rPr>
            </w:pPr>
            <w:r>
              <w:rPr>
                <w:rFonts w:hint="eastAsia"/>
                <w:color w:val="auto"/>
                <w:lang w:val="en-US" w:eastAsia="zh-CN"/>
              </w:rPr>
              <w:t>锌（</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6DDE">
            <w:pPr>
              <w:pStyle w:val="45"/>
              <w:bidi w:val="0"/>
              <w:rPr>
                <w:rFonts w:hint="eastAsia" w:eastAsia="宋体"/>
                <w:color w:val="auto"/>
                <w:lang w:val="en-US" w:eastAsia="zh-CN"/>
              </w:rPr>
            </w:pPr>
            <w:r>
              <w:rPr>
                <w:rFonts w:hint="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0882">
            <w:pPr>
              <w:pStyle w:val="45"/>
              <w:bidi w:val="0"/>
              <w:rPr>
                <w:rFonts w:hint="default"/>
                <w:color w:val="auto"/>
              </w:rPr>
            </w:pPr>
            <w:r>
              <w:rPr>
                <w:rFonts w:hint="default"/>
                <w:color w:val="auto"/>
                <w:lang w:val="en-US" w:eastAsia="zh-CN"/>
              </w:rPr>
              <w:t>135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F8D2">
            <w:pPr>
              <w:pStyle w:val="45"/>
              <w:bidi w:val="0"/>
              <w:rPr>
                <w:rFonts w:hint="default"/>
                <w:color w:val="auto"/>
              </w:rPr>
            </w:pPr>
            <w:r>
              <w:rPr>
                <w:rFonts w:hint="default"/>
                <w:color w:val="auto"/>
                <w:lang w:val="en-US" w:eastAsia="zh-CN"/>
              </w:rPr>
              <w:t>139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231A">
            <w:pPr>
              <w:pStyle w:val="45"/>
              <w:bidi w:val="0"/>
              <w:rPr>
                <w:rFonts w:hint="default"/>
                <w:color w:val="auto"/>
              </w:rPr>
            </w:pPr>
            <w:r>
              <w:rPr>
                <w:rFonts w:hint="default"/>
                <w:color w:val="auto"/>
                <w:lang w:val="en-US" w:eastAsia="zh-CN"/>
              </w:rPr>
              <w:t>89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7E309">
            <w:pPr>
              <w:pStyle w:val="45"/>
              <w:bidi w:val="0"/>
              <w:rPr>
                <w:rFonts w:hint="default"/>
                <w:color w:val="auto"/>
              </w:rPr>
            </w:pPr>
            <w:r>
              <w:rPr>
                <w:rFonts w:hint="default"/>
                <w:color w:val="auto"/>
                <w:lang w:val="en-US" w:eastAsia="zh-CN"/>
              </w:rPr>
              <w:t>99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3EAA2">
            <w:pPr>
              <w:pStyle w:val="45"/>
              <w:bidi w:val="0"/>
              <w:rPr>
                <w:rFonts w:hint="default"/>
                <w:color w:val="auto"/>
              </w:rPr>
            </w:pPr>
            <w:r>
              <w:rPr>
                <w:rFonts w:hint="default"/>
                <w:color w:val="auto"/>
                <w:lang w:val="en-US" w:eastAsia="zh-CN"/>
              </w:rPr>
              <w:t>67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06D4">
            <w:pPr>
              <w:pStyle w:val="45"/>
              <w:bidi w:val="0"/>
              <w:rPr>
                <w:rFonts w:hint="default"/>
                <w:color w:val="auto"/>
              </w:rPr>
            </w:pPr>
            <w:r>
              <w:rPr>
                <w:rFonts w:hint="default"/>
                <w:color w:val="auto"/>
                <w:lang w:val="en-US" w:eastAsia="zh-CN"/>
              </w:rPr>
              <w:t>67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7D01">
            <w:pPr>
              <w:pStyle w:val="45"/>
              <w:bidi w:val="0"/>
              <w:rPr>
                <w:rFonts w:hint="default"/>
                <w:color w:val="auto"/>
              </w:rPr>
            </w:pPr>
            <w:r>
              <w:rPr>
                <w:rFonts w:hint="default"/>
                <w:color w:val="auto"/>
                <w:lang w:val="en-US" w:eastAsia="zh-CN"/>
              </w:rPr>
              <w:t>70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66EA">
            <w:pPr>
              <w:pStyle w:val="45"/>
              <w:bidi w:val="0"/>
              <w:rPr>
                <w:rFonts w:hint="default"/>
                <w:color w:val="auto"/>
              </w:rPr>
            </w:pPr>
            <w:r>
              <w:rPr>
                <w:rFonts w:hint="default"/>
                <w:color w:val="auto"/>
                <w:lang w:val="en-US" w:eastAsia="zh-CN"/>
              </w:rPr>
              <w:t>107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4CA6">
            <w:pPr>
              <w:pStyle w:val="45"/>
              <w:bidi w:val="0"/>
              <w:rPr>
                <w:rFonts w:hint="default"/>
                <w:color w:val="auto"/>
              </w:rPr>
            </w:pPr>
            <w:r>
              <w:rPr>
                <w:rFonts w:hint="default"/>
                <w:color w:val="auto"/>
                <w:lang w:val="en-US" w:eastAsia="zh-CN"/>
              </w:rPr>
              <w:t>149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E6B4">
            <w:pPr>
              <w:pStyle w:val="45"/>
              <w:bidi w:val="0"/>
              <w:rPr>
                <w:rFonts w:hint="default"/>
                <w:color w:val="auto"/>
              </w:rPr>
            </w:pPr>
            <w:r>
              <w:rPr>
                <w:rFonts w:hint="default"/>
                <w:color w:val="auto"/>
                <w:lang w:val="en-US" w:eastAsia="zh-CN"/>
              </w:rPr>
              <w:t>660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E7C8">
            <w:pPr>
              <w:pStyle w:val="45"/>
              <w:bidi w:val="0"/>
              <w:rPr>
                <w:rFonts w:hint="default"/>
                <w:color w:val="auto"/>
              </w:rPr>
            </w:pPr>
            <w:r>
              <w:rPr>
                <w:rFonts w:hint="default"/>
                <w:color w:val="auto"/>
                <w:lang w:val="en-US" w:eastAsia="zh-CN"/>
              </w:rPr>
              <w:t>131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9EC5">
            <w:pPr>
              <w:pStyle w:val="45"/>
              <w:bidi w:val="0"/>
              <w:rPr>
                <w:rFonts w:hint="default"/>
                <w:color w:val="auto"/>
              </w:rPr>
            </w:pPr>
            <w:r>
              <w:rPr>
                <w:rFonts w:hint="default"/>
                <w:color w:val="auto"/>
                <w:lang w:val="en-US" w:eastAsia="zh-CN"/>
              </w:rPr>
              <w:t>218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BD76F">
            <w:pPr>
              <w:pStyle w:val="45"/>
              <w:bidi w:val="0"/>
              <w:rPr>
                <w:rFonts w:hint="default"/>
                <w:color w:val="auto"/>
              </w:rPr>
            </w:pPr>
            <w:r>
              <w:rPr>
                <w:rFonts w:hint="default"/>
                <w:color w:val="auto"/>
                <w:lang w:val="en-US" w:eastAsia="zh-CN"/>
              </w:rPr>
              <w:t>2200</w:t>
            </w:r>
          </w:p>
        </w:tc>
      </w:tr>
      <w:tr w14:paraId="10CB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1C49">
            <w:pPr>
              <w:pStyle w:val="45"/>
              <w:bidi w:val="0"/>
              <w:rPr>
                <w:rFonts w:hint="eastAsia"/>
                <w:color w:val="auto"/>
              </w:rPr>
            </w:pPr>
            <w:r>
              <w:rPr>
                <w:rFonts w:hint="eastAsia"/>
                <w:color w:val="auto"/>
                <w:lang w:val="en-US" w:eastAsia="zh-CN"/>
              </w:rPr>
              <w:t>铝（以</w:t>
            </w:r>
            <w:r>
              <w:rPr>
                <w:rFonts w:hint="default"/>
                <w:color w:val="auto"/>
                <w:lang w:val="en-US" w:eastAsia="zh-CN"/>
              </w:rPr>
              <w:t>Al2O3</w:t>
            </w:r>
            <w:r>
              <w:rPr>
                <w:rFonts w:hint="eastAsia"/>
                <w:color w:val="auto"/>
                <w:lang w:val="en-US" w:eastAsia="zh-CN"/>
              </w:rPr>
              <w:t>计）（</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D2232">
            <w:pPr>
              <w:pStyle w:val="45"/>
              <w:bidi w:val="0"/>
              <w:rPr>
                <w:rFonts w:hint="default"/>
                <w:color w:val="auto"/>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F6D8">
            <w:pPr>
              <w:pStyle w:val="45"/>
              <w:bidi w:val="0"/>
              <w:rPr>
                <w:rFonts w:hint="default"/>
                <w:color w:val="auto"/>
              </w:rPr>
            </w:pPr>
            <w:r>
              <w:rPr>
                <w:rFonts w:hint="default"/>
                <w:color w:val="auto"/>
                <w:lang w:val="en-US" w:eastAsia="zh-CN"/>
              </w:rPr>
              <w:t>8.9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B359">
            <w:pPr>
              <w:pStyle w:val="45"/>
              <w:bidi w:val="0"/>
              <w:rPr>
                <w:rFonts w:hint="default"/>
                <w:color w:val="auto"/>
              </w:rPr>
            </w:pPr>
            <w:r>
              <w:rPr>
                <w:rFonts w:hint="default"/>
                <w:color w:val="auto"/>
                <w:lang w:val="en-US" w:eastAsia="zh-CN"/>
              </w:rPr>
              <w:t>8.92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A541A">
            <w:pPr>
              <w:pStyle w:val="45"/>
              <w:bidi w:val="0"/>
              <w:rPr>
                <w:rFonts w:hint="default"/>
                <w:color w:val="auto"/>
              </w:rPr>
            </w:pPr>
            <w:r>
              <w:rPr>
                <w:rFonts w:hint="default"/>
                <w:color w:val="auto"/>
                <w:lang w:val="en-US" w:eastAsia="zh-CN"/>
              </w:rPr>
              <w:t>8.01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301D5">
            <w:pPr>
              <w:pStyle w:val="45"/>
              <w:bidi w:val="0"/>
              <w:rPr>
                <w:rFonts w:hint="default"/>
                <w:color w:val="auto"/>
              </w:rPr>
            </w:pPr>
            <w:r>
              <w:rPr>
                <w:rFonts w:hint="default"/>
                <w:color w:val="auto"/>
                <w:lang w:val="en-US" w:eastAsia="zh-CN"/>
              </w:rPr>
              <w:t>9.95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049">
            <w:pPr>
              <w:pStyle w:val="45"/>
              <w:bidi w:val="0"/>
              <w:rPr>
                <w:rFonts w:hint="default"/>
                <w:color w:val="auto"/>
              </w:rPr>
            </w:pPr>
            <w:r>
              <w:rPr>
                <w:rFonts w:hint="default"/>
                <w:color w:val="auto"/>
                <w:lang w:val="en-US" w:eastAsia="zh-CN"/>
              </w:rPr>
              <w:t>9.68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77A5">
            <w:pPr>
              <w:pStyle w:val="45"/>
              <w:bidi w:val="0"/>
              <w:rPr>
                <w:rFonts w:hint="default"/>
                <w:color w:val="auto"/>
              </w:rPr>
            </w:pPr>
            <w:r>
              <w:rPr>
                <w:rFonts w:hint="default"/>
                <w:color w:val="auto"/>
                <w:lang w:val="en-US" w:eastAsia="zh-CN"/>
              </w:rPr>
              <w:t>9.67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449E">
            <w:pPr>
              <w:pStyle w:val="45"/>
              <w:bidi w:val="0"/>
              <w:rPr>
                <w:rFonts w:hint="default"/>
                <w:color w:val="auto"/>
              </w:rPr>
            </w:pPr>
            <w:r>
              <w:rPr>
                <w:rFonts w:hint="default"/>
                <w:color w:val="auto"/>
                <w:lang w:val="en-US" w:eastAsia="zh-CN"/>
              </w:rPr>
              <w:t>8.76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07E6">
            <w:pPr>
              <w:pStyle w:val="45"/>
              <w:bidi w:val="0"/>
              <w:rPr>
                <w:rFonts w:hint="default"/>
                <w:color w:val="auto"/>
              </w:rPr>
            </w:pPr>
            <w:r>
              <w:rPr>
                <w:rFonts w:hint="default"/>
                <w:color w:val="auto"/>
                <w:lang w:val="en-US" w:eastAsia="zh-CN"/>
              </w:rPr>
              <w:t>9.28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111C">
            <w:pPr>
              <w:pStyle w:val="45"/>
              <w:bidi w:val="0"/>
              <w:rPr>
                <w:rFonts w:hint="default"/>
                <w:color w:val="auto"/>
              </w:rPr>
            </w:pPr>
            <w:r>
              <w:rPr>
                <w:rFonts w:hint="default"/>
                <w:color w:val="auto"/>
                <w:lang w:val="en-US" w:eastAsia="zh-CN"/>
              </w:rPr>
              <w:t>9.32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D339">
            <w:pPr>
              <w:pStyle w:val="45"/>
              <w:bidi w:val="0"/>
              <w:rPr>
                <w:rFonts w:hint="default"/>
                <w:color w:val="auto"/>
              </w:rPr>
            </w:pPr>
            <w:r>
              <w:rPr>
                <w:rFonts w:hint="default"/>
                <w:color w:val="auto"/>
                <w:lang w:val="en-US" w:eastAsia="zh-CN"/>
              </w:rPr>
              <w:t>11.19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461BF">
            <w:pPr>
              <w:pStyle w:val="45"/>
              <w:bidi w:val="0"/>
              <w:rPr>
                <w:rFonts w:hint="default"/>
                <w:color w:val="auto"/>
              </w:rPr>
            </w:pPr>
            <w:r>
              <w:rPr>
                <w:rFonts w:hint="default"/>
                <w:color w:val="auto"/>
                <w:lang w:val="en-US" w:eastAsia="zh-CN"/>
              </w:rPr>
              <w:t>9.41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1ED6">
            <w:pPr>
              <w:pStyle w:val="45"/>
              <w:bidi w:val="0"/>
              <w:rPr>
                <w:rFonts w:hint="default"/>
                <w:color w:val="auto"/>
              </w:rPr>
            </w:pPr>
            <w:r>
              <w:rPr>
                <w:rFonts w:hint="default"/>
                <w:color w:val="auto"/>
                <w:lang w:val="en-US" w:eastAsia="zh-CN"/>
              </w:rPr>
              <w:t>7.43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45DC8">
            <w:pPr>
              <w:pStyle w:val="45"/>
              <w:bidi w:val="0"/>
              <w:rPr>
                <w:rFonts w:hint="default"/>
                <w:color w:val="auto"/>
              </w:rPr>
            </w:pPr>
            <w:r>
              <w:rPr>
                <w:rFonts w:hint="default"/>
                <w:color w:val="auto"/>
                <w:lang w:val="en-US" w:eastAsia="zh-CN"/>
              </w:rPr>
              <w:t>7.2</w:t>
            </w:r>
          </w:p>
        </w:tc>
      </w:tr>
      <w:tr w14:paraId="2E5F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7541">
            <w:pPr>
              <w:pStyle w:val="45"/>
              <w:bidi w:val="0"/>
              <w:rPr>
                <w:rFonts w:hint="eastAsia"/>
                <w:color w:val="auto"/>
              </w:rPr>
            </w:pPr>
            <w:r>
              <w:rPr>
                <w:rFonts w:hint="eastAsia"/>
                <w:color w:val="auto"/>
                <w:lang w:val="en-US" w:eastAsia="zh-CN"/>
              </w:rPr>
              <w:t>锑（</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21DD6">
            <w:pPr>
              <w:pStyle w:val="45"/>
              <w:bidi w:val="0"/>
              <w:rPr>
                <w:rFonts w:hint="default"/>
                <w:color w:val="auto"/>
              </w:rPr>
            </w:pPr>
            <w:r>
              <w:rPr>
                <w:rFonts w:hint="default"/>
                <w:color w:val="auto"/>
                <w:lang w:val="en-US" w:eastAsia="zh-CN"/>
              </w:rPr>
              <w:t>180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02D2">
            <w:pPr>
              <w:pStyle w:val="45"/>
              <w:bidi w:val="0"/>
              <w:rPr>
                <w:rFonts w:hint="default"/>
                <w:color w:val="auto"/>
              </w:rPr>
            </w:pPr>
            <w:r>
              <w:rPr>
                <w:rFonts w:hint="default"/>
                <w:color w:val="auto"/>
                <w:lang w:val="en-US" w:eastAsia="zh-CN"/>
              </w:rPr>
              <w:t>1.84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C593">
            <w:pPr>
              <w:pStyle w:val="45"/>
              <w:bidi w:val="0"/>
              <w:rPr>
                <w:rFonts w:hint="default"/>
                <w:color w:val="auto"/>
              </w:rPr>
            </w:pPr>
            <w:r>
              <w:rPr>
                <w:rFonts w:hint="default"/>
                <w:color w:val="auto"/>
                <w:lang w:val="en-US" w:eastAsia="zh-CN"/>
              </w:rPr>
              <w:t>1.94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C947">
            <w:pPr>
              <w:pStyle w:val="45"/>
              <w:bidi w:val="0"/>
              <w:rPr>
                <w:rFonts w:hint="default"/>
                <w:color w:val="auto"/>
              </w:rPr>
            </w:pPr>
            <w:r>
              <w:rPr>
                <w:rFonts w:hint="default"/>
                <w:color w:val="auto"/>
                <w:lang w:val="en-US" w:eastAsia="zh-CN"/>
              </w:rPr>
              <w:t>3.26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85D5">
            <w:pPr>
              <w:pStyle w:val="45"/>
              <w:bidi w:val="0"/>
              <w:rPr>
                <w:rFonts w:hint="default"/>
                <w:color w:val="auto"/>
              </w:rPr>
            </w:pPr>
            <w:r>
              <w:rPr>
                <w:rFonts w:hint="default"/>
                <w:color w:val="auto"/>
                <w:lang w:val="en-US" w:eastAsia="zh-CN"/>
              </w:rPr>
              <w:t>1.81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00E90">
            <w:pPr>
              <w:pStyle w:val="45"/>
              <w:bidi w:val="0"/>
              <w:rPr>
                <w:rFonts w:hint="default"/>
                <w:color w:val="auto"/>
              </w:rPr>
            </w:pPr>
            <w:r>
              <w:rPr>
                <w:rFonts w:hint="default"/>
                <w:color w:val="auto"/>
                <w:lang w:val="en-US" w:eastAsia="zh-CN"/>
              </w:rPr>
              <w:t>1.56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402B">
            <w:pPr>
              <w:pStyle w:val="45"/>
              <w:bidi w:val="0"/>
              <w:rPr>
                <w:rFonts w:hint="default"/>
                <w:color w:val="auto"/>
              </w:rPr>
            </w:pPr>
            <w:r>
              <w:rPr>
                <w:rFonts w:hint="default"/>
                <w:color w:val="auto"/>
                <w:lang w:val="en-US" w:eastAsia="zh-CN"/>
              </w:rPr>
              <w:t>1.77</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3C20">
            <w:pPr>
              <w:pStyle w:val="45"/>
              <w:bidi w:val="0"/>
              <w:rPr>
                <w:rFonts w:hint="default"/>
                <w:color w:val="auto"/>
              </w:rPr>
            </w:pPr>
            <w:r>
              <w:rPr>
                <w:rFonts w:hint="default"/>
                <w:color w:val="auto"/>
                <w:lang w:val="en-US" w:eastAsia="zh-CN"/>
              </w:rPr>
              <w:t>1.75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7F895">
            <w:pPr>
              <w:pStyle w:val="45"/>
              <w:bidi w:val="0"/>
              <w:rPr>
                <w:rFonts w:hint="default"/>
                <w:color w:val="auto"/>
              </w:rPr>
            </w:pPr>
            <w:r>
              <w:rPr>
                <w:rFonts w:hint="default"/>
                <w:color w:val="auto"/>
                <w:lang w:val="en-US" w:eastAsia="zh-CN"/>
              </w:rPr>
              <w:t>2.43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3F28">
            <w:pPr>
              <w:pStyle w:val="45"/>
              <w:bidi w:val="0"/>
              <w:rPr>
                <w:rFonts w:hint="default"/>
                <w:color w:val="auto"/>
              </w:rPr>
            </w:pPr>
            <w:r>
              <w:rPr>
                <w:rFonts w:hint="default"/>
                <w:color w:val="auto"/>
                <w:lang w:val="en-US" w:eastAsia="zh-CN"/>
              </w:rPr>
              <w:t>1.56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5EFE9">
            <w:pPr>
              <w:pStyle w:val="45"/>
              <w:bidi w:val="0"/>
              <w:rPr>
                <w:rFonts w:hint="default"/>
                <w:color w:val="auto"/>
              </w:rPr>
            </w:pPr>
            <w:r>
              <w:rPr>
                <w:rFonts w:hint="default"/>
                <w:color w:val="auto"/>
                <w:lang w:val="en-US" w:eastAsia="zh-CN"/>
              </w:rPr>
              <w:t>3.09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58B8">
            <w:pPr>
              <w:pStyle w:val="45"/>
              <w:bidi w:val="0"/>
              <w:rPr>
                <w:rFonts w:hint="default"/>
                <w:color w:val="auto"/>
              </w:rPr>
            </w:pPr>
            <w:r>
              <w:rPr>
                <w:rFonts w:hint="default"/>
                <w:color w:val="auto"/>
                <w:lang w:val="en-US" w:eastAsia="zh-CN"/>
              </w:rPr>
              <w:t>4.88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7F40D">
            <w:pPr>
              <w:pStyle w:val="45"/>
              <w:bidi w:val="0"/>
              <w:rPr>
                <w:rFonts w:hint="default"/>
                <w:color w:val="auto"/>
              </w:rPr>
            </w:pPr>
            <w:r>
              <w:rPr>
                <w:rFonts w:hint="default"/>
                <w:color w:val="auto"/>
                <w:lang w:val="en-US" w:eastAsia="zh-CN"/>
              </w:rPr>
              <w:t>1.58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6F608">
            <w:pPr>
              <w:pStyle w:val="45"/>
              <w:bidi w:val="0"/>
              <w:rPr>
                <w:rFonts w:hint="default"/>
                <w:color w:val="auto"/>
              </w:rPr>
            </w:pPr>
            <w:r>
              <w:rPr>
                <w:rFonts w:hint="default"/>
                <w:color w:val="auto"/>
                <w:lang w:val="en-US" w:eastAsia="zh-CN"/>
              </w:rPr>
              <w:t>8.68</w:t>
            </w:r>
          </w:p>
        </w:tc>
      </w:tr>
      <w:tr w14:paraId="7BB7C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486B7">
            <w:pPr>
              <w:pStyle w:val="45"/>
              <w:bidi w:val="0"/>
              <w:rPr>
                <w:rFonts w:hint="eastAsia"/>
                <w:color w:val="auto"/>
              </w:rPr>
            </w:pPr>
            <w:r>
              <w:rPr>
                <w:rFonts w:hint="eastAsia"/>
                <w:color w:val="auto"/>
                <w:lang w:val="en-US" w:eastAsia="zh-CN"/>
              </w:rPr>
              <w:t>氟化物（</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D0C65">
            <w:pPr>
              <w:pStyle w:val="45"/>
              <w:bidi w:val="0"/>
              <w:rPr>
                <w:rFonts w:hint="eastAsia" w:eastAsia="宋体"/>
                <w:color w:val="auto"/>
                <w:lang w:val="en-US" w:eastAsia="zh-CN"/>
              </w:rPr>
            </w:pPr>
            <w:r>
              <w:rPr>
                <w:rFonts w:hint="eastAsia"/>
                <w:color w:val="auto"/>
                <w:lang w:val="en-US" w:eastAsia="zh-CN"/>
              </w:rPr>
              <w:t>-</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DDBE">
            <w:pPr>
              <w:pStyle w:val="45"/>
              <w:bidi w:val="0"/>
              <w:rPr>
                <w:rFonts w:hint="default"/>
                <w:color w:val="auto"/>
              </w:rPr>
            </w:pPr>
            <w:r>
              <w:rPr>
                <w:rFonts w:hint="default"/>
                <w:color w:val="auto"/>
                <w:lang w:val="en-US" w:eastAsia="zh-CN"/>
              </w:rPr>
              <w:t>259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05BA2">
            <w:pPr>
              <w:pStyle w:val="45"/>
              <w:bidi w:val="0"/>
              <w:rPr>
                <w:rFonts w:hint="default"/>
                <w:color w:val="auto"/>
              </w:rPr>
            </w:pPr>
            <w:r>
              <w:rPr>
                <w:rFonts w:hint="default"/>
                <w:color w:val="auto"/>
                <w:lang w:val="en-US" w:eastAsia="zh-CN"/>
              </w:rPr>
              <w:t>232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06F4D">
            <w:pPr>
              <w:pStyle w:val="45"/>
              <w:bidi w:val="0"/>
              <w:rPr>
                <w:rFonts w:hint="default"/>
                <w:color w:val="auto"/>
              </w:rPr>
            </w:pPr>
            <w:r>
              <w:rPr>
                <w:rFonts w:hint="default"/>
                <w:color w:val="auto"/>
                <w:lang w:val="en-US" w:eastAsia="zh-CN"/>
              </w:rPr>
              <w:t>525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CAE1">
            <w:pPr>
              <w:pStyle w:val="45"/>
              <w:bidi w:val="0"/>
              <w:rPr>
                <w:rFonts w:hint="default"/>
                <w:color w:val="auto"/>
              </w:rPr>
            </w:pPr>
            <w:r>
              <w:rPr>
                <w:rFonts w:hint="default"/>
                <w:color w:val="auto"/>
                <w:lang w:val="en-US" w:eastAsia="zh-CN"/>
              </w:rPr>
              <w:t>362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89F3">
            <w:pPr>
              <w:pStyle w:val="45"/>
              <w:bidi w:val="0"/>
              <w:rPr>
                <w:rFonts w:hint="default"/>
                <w:color w:val="auto"/>
              </w:rPr>
            </w:pPr>
            <w:r>
              <w:rPr>
                <w:rFonts w:hint="default"/>
                <w:color w:val="auto"/>
                <w:lang w:val="en-US" w:eastAsia="zh-CN"/>
              </w:rPr>
              <w:t>312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16AA">
            <w:pPr>
              <w:pStyle w:val="45"/>
              <w:bidi w:val="0"/>
              <w:rPr>
                <w:rFonts w:hint="default"/>
                <w:color w:val="auto"/>
              </w:rPr>
            </w:pPr>
            <w:r>
              <w:rPr>
                <w:rFonts w:hint="default"/>
                <w:color w:val="auto"/>
                <w:lang w:val="en-US" w:eastAsia="zh-CN"/>
              </w:rPr>
              <w:t>362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94F2">
            <w:pPr>
              <w:pStyle w:val="45"/>
              <w:bidi w:val="0"/>
              <w:rPr>
                <w:rFonts w:hint="default"/>
                <w:color w:val="auto"/>
              </w:rPr>
            </w:pPr>
            <w:r>
              <w:rPr>
                <w:rFonts w:hint="default"/>
                <w:color w:val="auto"/>
                <w:lang w:val="en-US" w:eastAsia="zh-CN"/>
              </w:rPr>
              <w:t>269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89E4">
            <w:pPr>
              <w:pStyle w:val="45"/>
              <w:bidi w:val="0"/>
              <w:rPr>
                <w:rFonts w:hint="default"/>
                <w:color w:val="auto"/>
              </w:rPr>
            </w:pPr>
            <w:r>
              <w:rPr>
                <w:rFonts w:hint="default"/>
                <w:color w:val="auto"/>
                <w:lang w:val="en-US" w:eastAsia="zh-CN"/>
              </w:rPr>
              <w:t>762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6C87">
            <w:pPr>
              <w:pStyle w:val="45"/>
              <w:bidi w:val="0"/>
              <w:rPr>
                <w:rFonts w:hint="default"/>
                <w:color w:val="auto"/>
              </w:rPr>
            </w:pPr>
            <w:r>
              <w:rPr>
                <w:rFonts w:hint="default"/>
                <w:color w:val="auto"/>
                <w:lang w:val="en-US" w:eastAsia="zh-CN"/>
              </w:rPr>
              <w:t>536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3EA2">
            <w:pPr>
              <w:pStyle w:val="45"/>
              <w:bidi w:val="0"/>
              <w:rPr>
                <w:rFonts w:hint="default"/>
                <w:color w:val="auto"/>
              </w:rPr>
            </w:pPr>
            <w:r>
              <w:rPr>
                <w:rFonts w:hint="default"/>
                <w:color w:val="auto"/>
                <w:lang w:val="en-US" w:eastAsia="zh-CN"/>
              </w:rPr>
              <w:t>566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5E75">
            <w:pPr>
              <w:pStyle w:val="45"/>
              <w:bidi w:val="0"/>
              <w:rPr>
                <w:rFonts w:hint="default"/>
                <w:color w:val="auto"/>
              </w:rPr>
            </w:pPr>
            <w:r>
              <w:rPr>
                <w:rFonts w:hint="default"/>
                <w:color w:val="auto"/>
                <w:lang w:val="en-US" w:eastAsia="zh-CN"/>
              </w:rPr>
              <w:t>682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2E40">
            <w:pPr>
              <w:pStyle w:val="45"/>
              <w:bidi w:val="0"/>
              <w:rPr>
                <w:rFonts w:hint="default"/>
                <w:color w:val="auto"/>
              </w:rPr>
            </w:pPr>
            <w:r>
              <w:rPr>
                <w:rFonts w:hint="default"/>
                <w:color w:val="auto"/>
                <w:lang w:val="en-US" w:eastAsia="zh-CN"/>
              </w:rPr>
              <w:t>363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7481">
            <w:pPr>
              <w:pStyle w:val="45"/>
              <w:bidi w:val="0"/>
              <w:rPr>
                <w:rFonts w:hint="default"/>
                <w:color w:val="auto"/>
              </w:rPr>
            </w:pPr>
            <w:r>
              <w:rPr>
                <w:rFonts w:hint="default"/>
                <w:color w:val="auto"/>
                <w:lang w:val="en-US" w:eastAsia="zh-CN"/>
              </w:rPr>
              <w:t>324</w:t>
            </w:r>
          </w:p>
        </w:tc>
      </w:tr>
      <w:tr w14:paraId="683B2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F4717">
            <w:pPr>
              <w:pStyle w:val="45"/>
              <w:bidi w:val="0"/>
              <w:rPr>
                <w:rFonts w:hint="eastAsia"/>
                <w:color w:val="auto"/>
              </w:rPr>
            </w:pPr>
            <w:r>
              <w:rPr>
                <w:rFonts w:hint="eastAsia"/>
                <w:color w:val="auto"/>
                <w:lang w:val="en-US" w:eastAsia="zh-CN"/>
              </w:rPr>
              <w:t>石油烃（</w:t>
            </w:r>
            <w:r>
              <w:rPr>
                <w:rFonts w:hint="default"/>
                <w:color w:val="auto"/>
                <w:lang w:val="en-US" w:eastAsia="zh-CN"/>
              </w:rPr>
              <w:t>C10~C40</w:t>
            </w:r>
            <w:r>
              <w:rPr>
                <w:rFonts w:hint="eastAsia"/>
                <w:color w:val="auto"/>
                <w:lang w:val="en-US" w:eastAsia="zh-CN"/>
              </w:rPr>
              <w:t>）（</w:t>
            </w:r>
            <w:r>
              <w:rPr>
                <w:rFonts w:hint="default"/>
                <w:color w:val="auto"/>
                <w:lang w:val="en-US" w:eastAsia="zh-CN"/>
              </w:rPr>
              <w:t>mg/kg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7C46">
            <w:pPr>
              <w:pStyle w:val="45"/>
              <w:bidi w:val="0"/>
              <w:rPr>
                <w:rFonts w:hint="default"/>
                <w:color w:val="auto"/>
              </w:rPr>
            </w:pPr>
            <w:r>
              <w:rPr>
                <w:rFonts w:hint="default"/>
                <w:color w:val="auto"/>
                <w:lang w:val="en-US" w:eastAsia="zh-CN"/>
              </w:rPr>
              <w:t>4500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299C">
            <w:pPr>
              <w:pStyle w:val="45"/>
              <w:bidi w:val="0"/>
              <w:rPr>
                <w:rFonts w:hint="default"/>
                <w:color w:val="auto"/>
              </w:rPr>
            </w:pPr>
            <w:r>
              <w:rPr>
                <w:rFonts w:hint="default"/>
                <w:color w:val="auto"/>
                <w:lang w:val="en-US" w:eastAsia="zh-CN"/>
              </w:rPr>
              <w:t>23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EE75">
            <w:pPr>
              <w:pStyle w:val="45"/>
              <w:bidi w:val="0"/>
              <w:rPr>
                <w:rFonts w:hint="default"/>
                <w:color w:val="auto"/>
              </w:rPr>
            </w:pPr>
            <w:r>
              <w:rPr>
                <w:rFonts w:hint="default"/>
                <w:color w:val="auto"/>
                <w:lang w:val="en-US" w:eastAsia="zh-CN"/>
              </w:rPr>
              <w:t>20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3335">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43975">
            <w:pPr>
              <w:pStyle w:val="45"/>
              <w:bidi w:val="0"/>
              <w:rPr>
                <w:rFonts w:hint="default"/>
                <w:color w:val="auto"/>
              </w:rPr>
            </w:pPr>
            <w:r>
              <w:rPr>
                <w:rFonts w:hint="default"/>
                <w:color w:val="auto"/>
                <w:lang w:val="en-US" w:eastAsia="zh-CN"/>
              </w:rPr>
              <w:t>92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57B99">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5C26D">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6269">
            <w:pPr>
              <w:pStyle w:val="45"/>
              <w:bidi w:val="0"/>
              <w:rPr>
                <w:rFonts w:hint="default"/>
                <w:color w:val="auto"/>
              </w:rPr>
            </w:pPr>
            <w:r>
              <w:rPr>
                <w:rFonts w:hint="default"/>
                <w:color w:val="auto"/>
                <w:lang w:val="en-US" w:eastAsia="zh-CN"/>
              </w:rPr>
              <w:t>89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BF18">
            <w:pPr>
              <w:pStyle w:val="45"/>
              <w:bidi w:val="0"/>
              <w:rPr>
                <w:rFonts w:hint="default"/>
                <w:color w:val="auto"/>
              </w:rPr>
            </w:pPr>
            <w:r>
              <w:rPr>
                <w:rFonts w:hint="default"/>
                <w:color w:val="auto"/>
                <w:lang w:val="en-US" w:eastAsia="zh-CN"/>
              </w:rPr>
              <w:t>11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3813">
            <w:pPr>
              <w:pStyle w:val="45"/>
              <w:bidi w:val="0"/>
              <w:rPr>
                <w:rFonts w:hint="default"/>
                <w:color w:val="auto"/>
              </w:rPr>
            </w:pPr>
            <w:r>
              <w:rPr>
                <w:rFonts w:hint="default"/>
                <w:color w:val="auto"/>
                <w:lang w:val="en-US" w:eastAsia="zh-CN"/>
              </w:rPr>
              <w:t>16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95CC">
            <w:pPr>
              <w:pStyle w:val="45"/>
              <w:bidi w:val="0"/>
              <w:rPr>
                <w:rFonts w:hint="default"/>
                <w:color w:val="auto"/>
              </w:rPr>
            </w:pPr>
            <w:r>
              <w:rPr>
                <w:rFonts w:hint="default"/>
                <w:color w:val="auto"/>
                <w:lang w:val="en-US" w:eastAsia="zh-CN"/>
              </w:rPr>
              <w:t>80</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A0A5">
            <w:pPr>
              <w:pStyle w:val="45"/>
              <w:bidi w:val="0"/>
              <w:rPr>
                <w:rFonts w:hint="default"/>
                <w:color w:val="auto"/>
              </w:rPr>
            </w:pPr>
            <w:r>
              <w:rPr>
                <w:rFonts w:hint="default"/>
                <w:color w:val="auto"/>
                <w:lang w:val="en-US" w:eastAsia="zh-CN"/>
              </w:rPr>
              <w:t>75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C824">
            <w:pPr>
              <w:pStyle w:val="45"/>
              <w:bidi w:val="0"/>
              <w:rPr>
                <w:rFonts w:hint="default"/>
                <w:color w:val="auto"/>
              </w:rPr>
            </w:pPr>
            <w:r>
              <w:rPr>
                <w:rFonts w:hint="default"/>
                <w:color w:val="auto"/>
                <w:lang w:val="en-US" w:eastAsia="zh-CN"/>
              </w:rPr>
              <w:t>99</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9E32">
            <w:pPr>
              <w:pStyle w:val="45"/>
              <w:bidi w:val="0"/>
              <w:rPr>
                <w:rFonts w:hint="default"/>
                <w:color w:val="auto"/>
              </w:rPr>
            </w:pPr>
            <w:r>
              <w:rPr>
                <w:rFonts w:hint="default"/>
                <w:color w:val="auto"/>
                <w:lang w:val="en-US" w:eastAsia="zh-CN"/>
              </w:rPr>
              <w:t>96</w:t>
            </w:r>
          </w:p>
        </w:tc>
      </w:tr>
      <w:tr w14:paraId="390C1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852C5">
            <w:pPr>
              <w:pStyle w:val="45"/>
              <w:bidi w:val="0"/>
              <w:rPr>
                <w:rFonts w:hint="eastAsia"/>
                <w:color w:val="auto"/>
              </w:rPr>
            </w:pPr>
            <w:r>
              <w:rPr>
                <w:rFonts w:hint="eastAsia"/>
                <w:color w:val="auto"/>
                <w:lang w:val="en-US" w:eastAsia="zh-CN"/>
              </w:rPr>
              <w:t>顺</w:t>
            </w:r>
            <w:r>
              <w:rPr>
                <w:rFonts w:hint="default"/>
                <w:color w:val="auto"/>
                <w:lang w:val="en-US" w:eastAsia="zh-CN"/>
              </w:rPr>
              <w:t>-1,2-</w:t>
            </w:r>
            <w:r>
              <w:rPr>
                <w:rFonts w:hint="eastAsia"/>
                <w:color w:val="auto"/>
                <w:lang w:val="en-US" w:eastAsia="zh-CN"/>
              </w:rPr>
              <w:t>二氯乙烯（</w:t>
            </w:r>
            <w:r>
              <w:rPr>
                <w:rFonts w:hint="default"/>
                <w:color w:val="auto"/>
                <w:lang w:val="en-US" w:eastAsia="zh-CN"/>
              </w:rPr>
              <w:t>μg/kg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C0D4">
            <w:pPr>
              <w:pStyle w:val="45"/>
              <w:bidi w:val="0"/>
              <w:rPr>
                <w:rFonts w:hint="default"/>
                <w:color w:val="auto"/>
              </w:rPr>
            </w:pPr>
            <w:r>
              <w:rPr>
                <w:rFonts w:hint="default"/>
                <w:color w:val="auto"/>
                <w:lang w:val="en-US" w:eastAsia="zh-CN"/>
              </w:rPr>
              <w:t>596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A234">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4D84">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1900">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82C6">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0666">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A9E4">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7048">
            <w:pPr>
              <w:pStyle w:val="45"/>
              <w:bidi w:val="0"/>
              <w:rPr>
                <w:rFonts w:hint="default"/>
                <w:color w:val="auto"/>
              </w:rPr>
            </w:pPr>
            <w:r>
              <w:rPr>
                <w:rFonts w:hint="default"/>
                <w:color w:val="auto"/>
                <w:lang w:val="en-US" w:eastAsia="zh-CN"/>
              </w:rPr>
              <w:t>246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79AC">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D8BD">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310A">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2EEE2">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557F">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2D4D">
            <w:pPr>
              <w:pStyle w:val="45"/>
              <w:bidi w:val="0"/>
              <w:rPr>
                <w:rFonts w:hint="default"/>
                <w:color w:val="auto"/>
              </w:rPr>
            </w:pPr>
            <w:r>
              <w:rPr>
                <w:rFonts w:hint="default"/>
                <w:color w:val="auto"/>
                <w:lang w:val="en-US" w:eastAsia="zh-CN"/>
              </w:rPr>
              <w:t>ND</w:t>
            </w:r>
          </w:p>
        </w:tc>
      </w:tr>
      <w:tr w14:paraId="0CED7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0BE8">
            <w:pPr>
              <w:pStyle w:val="45"/>
              <w:bidi w:val="0"/>
              <w:rPr>
                <w:rFonts w:hint="eastAsia"/>
                <w:color w:val="auto"/>
              </w:rPr>
            </w:pPr>
            <w:r>
              <w:rPr>
                <w:rFonts w:hint="eastAsia"/>
                <w:color w:val="auto"/>
                <w:lang w:val="en-US" w:eastAsia="zh-CN"/>
              </w:rPr>
              <w:t>反</w:t>
            </w:r>
            <w:r>
              <w:rPr>
                <w:rFonts w:hint="default"/>
                <w:color w:val="auto"/>
                <w:lang w:val="en-US" w:eastAsia="zh-CN"/>
              </w:rPr>
              <w:t>-1,2-</w:t>
            </w:r>
            <w:r>
              <w:rPr>
                <w:rFonts w:hint="eastAsia"/>
                <w:color w:val="auto"/>
                <w:lang w:val="en-US" w:eastAsia="zh-CN"/>
              </w:rPr>
              <w:t>二氯乙烯（</w:t>
            </w:r>
            <w:r>
              <w:rPr>
                <w:rFonts w:hint="default"/>
                <w:color w:val="auto"/>
                <w:lang w:val="en-US" w:eastAsia="zh-CN"/>
              </w:rPr>
              <w:t>μg/kg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2EEB6">
            <w:pPr>
              <w:pStyle w:val="45"/>
              <w:bidi w:val="0"/>
              <w:rPr>
                <w:rFonts w:hint="default"/>
                <w:color w:val="auto"/>
              </w:rPr>
            </w:pPr>
            <w:r>
              <w:rPr>
                <w:rFonts w:hint="default"/>
                <w:color w:val="auto"/>
                <w:lang w:val="en-US" w:eastAsia="zh-CN"/>
              </w:rPr>
              <w:t>54</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6DD0">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61168">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44475">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5B4D2">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A5F8">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1BFA">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CC12">
            <w:pPr>
              <w:pStyle w:val="45"/>
              <w:bidi w:val="0"/>
              <w:rPr>
                <w:rFonts w:hint="default"/>
                <w:color w:val="auto"/>
              </w:rPr>
            </w:pPr>
            <w:r>
              <w:rPr>
                <w:rFonts w:hint="default"/>
                <w:color w:val="auto"/>
                <w:lang w:val="en-US" w:eastAsia="zh-CN"/>
              </w:rPr>
              <w:t>5.2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CB482">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808D">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C6E57">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FE91D">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C722">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ED282">
            <w:pPr>
              <w:pStyle w:val="45"/>
              <w:bidi w:val="0"/>
              <w:rPr>
                <w:rFonts w:hint="default"/>
                <w:color w:val="auto"/>
              </w:rPr>
            </w:pPr>
            <w:r>
              <w:rPr>
                <w:rFonts w:hint="default"/>
                <w:color w:val="auto"/>
                <w:lang w:val="en-US" w:eastAsia="zh-CN"/>
              </w:rPr>
              <w:t>ND</w:t>
            </w:r>
          </w:p>
        </w:tc>
      </w:tr>
      <w:tr w14:paraId="55727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53D5">
            <w:pPr>
              <w:pStyle w:val="45"/>
              <w:bidi w:val="0"/>
              <w:rPr>
                <w:rFonts w:hint="eastAsia"/>
                <w:color w:val="auto"/>
              </w:rPr>
            </w:pPr>
            <w:r>
              <w:rPr>
                <w:rFonts w:hint="eastAsia"/>
                <w:color w:val="auto"/>
                <w:lang w:val="en-US" w:eastAsia="zh-CN"/>
              </w:rPr>
              <w:t>二氯甲烷（</w:t>
            </w:r>
            <w:r>
              <w:rPr>
                <w:rFonts w:hint="default"/>
                <w:color w:val="auto"/>
                <w:lang w:val="en-US" w:eastAsia="zh-CN"/>
              </w:rPr>
              <w:t>μg/kg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5846">
            <w:pPr>
              <w:pStyle w:val="45"/>
              <w:bidi w:val="0"/>
              <w:rPr>
                <w:rFonts w:hint="default"/>
                <w:color w:val="auto"/>
              </w:rPr>
            </w:pPr>
            <w:r>
              <w:rPr>
                <w:rFonts w:hint="default"/>
                <w:color w:val="auto"/>
                <w:lang w:val="en-US" w:eastAsia="zh-CN"/>
              </w:rPr>
              <w:t>616</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E71A">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662EC">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32D38">
            <w:pPr>
              <w:pStyle w:val="45"/>
              <w:bidi w:val="0"/>
              <w:rPr>
                <w:rFonts w:hint="default"/>
                <w:color w:val="auto"/>
              </w:rPr>
            </w:pPr>
            <w:r>
              <w:rPr>
                <w:rFonts w:hint="default"/>
                <w:color w:val="auto"/>
                <w:lang w:val="en-US" w:eastAsia="zh-CN"/>
              </w:rPr>
              <w:t>2.2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9203">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0121">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A654">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7786">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E38AB">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DCA90">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D1A1">
            <w:pPr>
              <w:pStyle w:val="45"/>
              <w:bidi w:val="0"/>
              <w:rPr>
                <w:rFonts w:hint="default"/>
                <w:color w:val="auto"/>
              </w:rPr>
            </w:pPr>
            <w:r>
              <w:rPr>
                <w:rFonts w:hint="default"/>
                <w:color w:val="auto"/>
                <w:lang w:val="en-US" w:eastAsia="zh-CN"/>
              </w:rPr>
              <w:t>2.2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3188">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EB98">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2872">
            <w:pPr>
              <w:pStyle w:val="45"/>
              <w:bidi w:val="0"/>
              <w:rPr>
                <w:rFonts w:hint="default"/>
                <w:color w:val="auto"/>
              </w:rPr>
            </w:pPr>
            <w:r>
              <w:rPr>
                <w:rFonts w:hint="default"/>
                <w:color w:val="auto"/>
                <w:lang w:val="en-US" w:eastAsia="zh-CN"/>
              </w:rPr>
              <w:t>ND</w:t>
            </w:r>
          </w:p>
        </w:tc>
      </w:tr>
      <w:tr w14:paraId="2F083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2FF5">
            <w:pPr>
              <w:pStyle w:val="45"/>
              <w:bidi w:val="0"/>
              <w:rPr>
                <w:rFonts w:hint="default"/>
                <w:color w:val="auto"/>
              </w:rPr>
            </w:pPr>
            <w:r>
              <w:rPr>
                <w:rFonts w:hint="default"/>
                <w:color w:val="auto"/>
                <w:lang w:val="en-US" w:eastAsia="zh-CN"/>
              </w:rPr>
              <w:t>1,2-</w:t>
            </w:r>
            <w:r>
              <w:rPr>
                <w:rFonts w:hint="eastAsia"/>
                <w:color w:val="auto"/>
                <w:lang w:val="en-US" w:eastAsia="zh-CN"/>
              </w:rPr>
              <w:t>二氯丙烷（</w:t>
            </w:r>
            <w:r>
              <w:rPr>
                <w:rFonts w:hint="default"/>
                <w:color w:val="auto"/>
                <w:lang w:val="en-US" w:eastAsia="zh-CN"/>
              </w:rPr>
              <w:t>μg/kg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15D8">
            <w:pPr>
              <w:pStyle w:val="45"/>
              <w:bidi w:val="0"/>
              <w:rPr>
                <w:rFonts w:hint="default"/>
                <w:color w:val="auto"/>
              </w:rPr>
            </w:pPr>
            <w:r>
              <w:rPr>
                <w:rFonts w:hint="default"/>
                <w:color w:val="auto"/>
                <w:lang w:val="en-US" w:eastAsia="zh-CN"/>
              </w:rPr>
              <w:t>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15C4D">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9ACF">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B57F">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ED349">
            <w:pPr>
              <w:pStyle w:val="45"/>
              <w:bidi w:val="0"/>
              <w:rPr>
                <w:rFonts w:hint="default"/>
                <w:color w:val="auto"/>
              </w:rPr>
            </w:pPr>
            <w:r>
              <w:rPr>
                <w:rFonts w:hint="default"/>
                <w:color w:val="auto"/>
                <w:lang w:val="en-US" w:eastAsia="zh-CN"/>
              </w:rPr>
              <w:t>1.1</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14D3">
            <w:pPr>
              <w:pStyle w:val="45"/>
              <w:bidi w:val="0"/>
              <w:rPr>
                <w:rFonts w:hint="default"/>
                <w:color w:val="auto"/>
              </w:rPr>
            </w:pPr>
            <w:r>
              <w:rPr>
                <w:rFonts w:hint="default"/>
                <w:color w:val="auto"/>
                <w:lang w:val="en-US" w:eastAsia="zh-CN"/>
              </w:rPr>
              <w:t>1.2</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022A">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A734">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742F">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7EE14">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63D7">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421F">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EBD7">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1D4F">
            <w:pPr>
              <w:pStyle w:val="45"/>
              <w:bidi w:val="0"/>
              <w:rPr>
                <w:rFonts w:hint="default"/>
                <w:color w:val="auto"/>
              </w:rPr>
            </w:pPr>
            <w:r>
              <w:rPr>
                <w:rFonts w:hint="default"/>
                <w:color w:val="auto"/>
                <w:lang w:val="en-US" w:eastAsia="zh-CN"/>
              </w:rPr>
              <w:t>ND</w:t>
            </w:r>
          </w:p>
        </w:tc>
      </w:tr>
      <w:tr w14:paraId="204C0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9369A">
            <w:pPr>
              <w:pStyle w:val="45"/>
              <w:bidi w:val="0"/>
              <w:rPr>
                <w:rFonts w:hint="eastAsia"/>
                <w:color w:val="auto"/>
              </w:rPr>
            </w:pPr>
            <w:r>
              <w:rPr>
                <w:rFonts w:hint="eastAsia"/>
                <w:color w:val="auto"/>
                <w:lang w:val="en-US" w:eastAsia="zh-CN"/>
              </w:rPr>
              <w:t>氯乙烯（</w:t>
            </w:r>
            <w:r>
              <w:rPr>
                <w:rFonts w:hint="default"/>
                <w:color w:val="auto"/>
                <w:lang w:val="en-US" w:eastAsia="zh-CN"/>
              </w:rPr>
              <w:t>μg/kg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3654">
            <w:pPr>
              <w:pStyle w:val="45"/>
              <w:bidi w:val="0"/>
              <w:rPr>
                <w:rFonts w:hint="default"/>
                <w:color w:val="auto"/>
                <w:lang w:val="en-US"/>
              </w:rPr>
            </w:pPr>
            <w:r>
              <w:rPr>
                <w:rFonts w:hint="default"/>
                <w:color w:val="auto"/>
                <w:lang w:val="en-US" w:eastAsia="zh-CN"/>
              </w:rPr>
              <w:t>0.4</w:t>
            </w:r>
            <w:r>
              <w:rPr>
                <w:rFonts w:hint="eastAsia"/>
                <w:color w:val="auto"/>
                <w:lang w:val="en-US" w:eastAsia="zh-CN"/>
              </w:rPr>
              <w:t>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51AA">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FE763">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9D1E0">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38AA">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D25F">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2CB2">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800D">
            <w:pPr>
              <w:pStyle w:val="45"/>
              <w:bidi w:val="0"/>
              <w:rPr>
                <w:rFonts w:hint="default"/>
                <w:color w:val="auto"/>
              </w:rPr>
            </w:pPr>
            <w:r>
              <w:rPr>
                <w:rFonts w:hint="default"/>
                <w:color w:val="auto"/>
                <w:lang w:val="en-US" w:eastAsia="zh-CN"/>
              </w:rPr>
              <w:t>11.8</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4F61">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C8B2">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4E84">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9DEEF">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B5B97">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6DFC">
            <w:pPr>
              <w:pStyle w:val="45"/>
              <w:bidi w:val="0"/>
              <w:rPr>
                <w:rFonts w:hint="default"/>
                <w:color w:val="auto"/>
              </w:rPr>
            </w:pPr>
            <w:r>
              <w:rPr>
                <w:rFonts w:hint="default"/>
                <w:color w:val="auto"/>
                <w:lang w:val="en-US" w:eastAsia="zh-CN"/>
              </w:rPr>
              <w:t>ND</w:t>
            </w:r>
          </w:p>
        </w:tc>
      </w:tr>
      <w:tr w14:paraId="3F440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6657">
            <w:pPr>
              <w:pStyle w:val="45"/>
              <w:bidi w:val="0"/>
              <w:rPr>
                <w:rFonts w:hint="eastAsia"/>
                <w:color w:val="auto"/>
              </w:rPr>
            </w:pPr>
            <w:r>
              <w:rPr>
                <w:rFonts w:hint="eastAsia"/>
                <w:color w:val="auto"/>
                <w:lang w:val="en-US" w:eastAsia="zh-CN"/>
              </w:rPr>
              <w:t>四氯乙烯（</w:t>
            </w:r>
            <w:r>
              <w:rPr>
                <w:rFonts w:hint="default"/>
                <w:color w:val="auto"/>
                <w:lang w:val="en-US" w:eastAsia="zh-CN"/>
              </w:rPr>
              <w:t>μg/kg</w:t>
            </w:r>
            <w:r>
              <w:rPr>
                <w:rFonts w:hint="eastAsia"/>
                <w:color w:val="auto"/>
                <w:lang w:val="en-US" w:eastAsia="zh-CN"/>
              </w:rPr>
              <w: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F4A0">
            <w:pPr>
              <w:pStyle w:val="45"/>
              <w:bidi w:val="0"/>
              <w:rPr>
                <w:rFonts w:hint="default"/>
                <w:color w:val="auto"/>
              </w:rPr>
            </w:pPr>
            <w:r>
              <w:rPr>
                <w:rFonts w:hint="default"/>
                <w:color w:val="auto"/>
                <w:lang w:val="en-US" w:eastAsia="zh-CN"/>
              </w:rPr>
              <w:t>53</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F31E">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4211">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4EB2">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2CA1">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BE97">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F6F4">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143D">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76F9F">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6E650">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4F8A1">
            <w:pPr>
              <w:pStyle w:val="45"/>
              <w:bidi w:val="0"/>
              <w:rPr>
                <w:rFonts w:hint="default"/>
                <w:color w:val="auto"/>
              </w:rPr>
            </w:pPr>
            <w:r>
              <w:rPr>
                <w:rFonts w:hint="default"/>
                <w:color w:val="auto"/>
                <w:lang w:val="en-US" w:eastAsia="zh-CN"/>
              </w:rPr>
              <w:t>1.5</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0E67">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CA2B8">
            <w:pPr>
              <w:pStyle w:val="45"/>
              <w:bidi w:val="0"/>
              <w:rPr>
                <w:rFonts w:hint="default"/>
                <w:color w:val="auto"/>
              </w:rPr>
            </w:pPr>
            <w:r>
              <w:rPr>
                <w:rFonts w:hint="default"/>
                <w:color w:val="auto"/>
                <w:lang w:val="en-US" w:eastAsia="zh-CN"/>
              </w:rPr>
              <w:t>ND</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1B81">
            <w:pPr>
              <w:pStyle w:val="45"/>
              <w:bidi w:val="0"/>
              <w:rPr>
                <w:rFonts w:hint="default"/>
                <w:color w:val="auto"/>
              </w:rPr>
            </w:pPr>
            <w:r>
              <w:rPr>
                <w:rFonts w:hint="default"/>
                <w:color w:val="auto"/>
                <w:lang w:val="en-US" w:eastAsia="zh-CN"/>
              </w:rPr>
              <w:t>ND</w:t>
            </w:r>
          </w:p>
        </w:tc>
      </w:tr>
    </w:tbl>
    <w:p w14:paraId="19D8A8AA">
      <w:pPr>
        <w:bidi w:val="0"/>
        <w:rPr>
          <w:rFonts w:hint="default" w:eastAsia="宋体"/>
          <w:color w:val="auto"/>
          <w:lang w:val="en-US" w:eastAsia="zh-CN"/>
        </w:rPr>
        <w:sectPr>
          <w:pgSz w:w="16838" w:h="11906" w:orient="landscape"/>
          <w:pgMar w:top="1797" w:right="1440" w:bottom="1797" w:left="1440" w:header="851" w:footer="992" w:gutter="0"/>
          <w:pgNumType w:fmt="decimal"/>
          <w:cols w:space="425" w:num="1"/>
          <w:docGrid w:type="lines" w:linePitch="312" w:charSpace="0"/>
        </w:sectPr>
      </w:pPr>
      <w:r>
        <w:rPr>
          <w:rFonts w:hint="eastAsia"/>
          <w:color w:val="auto"/>
          <w:lang w:val="en-US" w:eastAsia="zh-CN"/>
        </w:rPr>
        <w:t>由监测结果可知</w:t>
      </w:r>
      <w:r>
        <w:rPr>
          <w:rFonts w:hint="default"/>
          <w:color w:val="auto"/>
        </w:rPr>
        <w:t>，</w:t>
      </w:r>
      <w:r>
        <w:rPr>
          <w:rFonts w:hint="default"/>
          <w:color w:val="auto"/>
          <w:lang w:val="en-US" w:eastAsia="zh-CN"/>
        </w:rPr>
        <w:t>各点位监测结果</w:t>
      </w:r>
      <w:r>
        <w:rPr>
          <w:rFonts w:hint="eastAsia"/>
          <w:color w:val="auto"/>
          <w:lang w:val="en-US" w:eastAsia="zh-CN"/>
        </w:rPr>
        <w:t>除氯乙烯外</w:t>
      </w:r>
      <w:r>
        <w:rPr>
          <w:rFonts w:hint="default"/>
          <w:color w:val="auto"/>
          <w:lang w:val="en-US" w:eastAsia="zh-CN"/>
        </w:rPr>
        <w:t>均符合</w:t>
      </w:r>
      <w:r>
        <w:rPr>
          <w:rFonts w:hint="default"/>
          <w:color w:val="auto"/>
        </w:rPr>
        <w:t>《土壤环境质量 建设用地土壤污染风险管控标准（试行）》（GB</w:t>
      </w:r>
      <w:r>
        <w:rPr>
          <w:rFonts w:hint="eastAsia"/>
          <w:color w:val="auto"/>
          <w:lang w:val="en-US" w:eastAsia="zh-CN"/>
        </w:rPr>
        <w:t xml:space="preserve"> </w:t>
      </w:r>
      <w:r>
        <w:rPr>
          <w:rFonts w:hint="default"/>
          <w:color w:val="auto"/>
        </w:rPr>
        <w:t>36600-2018）中规定的第二类用地标准</w:t>
      </w:r>
      <w:r>
        <w:rPr>
          <w:rFonts w:hint="default"/>
          <w:color w:val="auto"/>
          <w:lang w:eastAsia="zh-CN"/>
        </w:rPr>
        <w:t>。</w:t>
      </w:r>
      <w:r>
        <w:rPr>
          <w:rFonts w:hint="eastAsia"/>
          <w:color w:val="auto"/>
          <w:lang w:eastAsia="zh-CN"/>
        </w:rPr>
        <w:t>、</w:t>
      </w:r>
      <w:r>
        <w:rPr>
          <w:rFonts w:hint="eastAsia"/>
          <w:color w:val="auto"/>
          <w:lang w:val="en-US" w:eastAsia="zh-CN"/>
        </w:rPr>
        <w:t>pH、锌、铝、氟化物在</w:t>
      </w:r>
      <w:r>
        <w:rPr>
          <w:rFonts w:hint="default"/>
          <w:color w:val="auto"/>
        </w:rPr>
        <w:t>GB</w:t>
      </w:r>
      <w:r>
        <w:rPr>
          <w:rFonts w:hint="eastAsia"/>
          <w:color w:val="auto"/>
          <w:lang w:val="en-US" w:eastAsia="zh-CN"/>
        </w:rPr>
        <w:t xml:space="preserve"> </w:t>
      </w:r>
      <w:r>
        <w:rPr>
          <w:rFonts w:hint="default"/>
          <w:color w:val="auto"/>
        </w:rPr>
        <w:t>36600-2018</w:t>
      </w:r>
      <w:r>
        <w:rPr>
          <w:rFonts w:hint="eastAsia"/>
          <w:color w:val="auto"/>
          <w:lang w:val="en-US" w:eastAsia="zh-CN"/>
        </w:rPr>
        <w:t>无相关标准,暂不评价。</w:t>
      </w:r>
    </w:p>
    <w:p w14:paraId="438C94E8">
      <w:pPr>
        <w:numPr>
          <w:ilvl w:val="0"/>
          <w:numId w:val="10"/>
        </w:numPr>
        <w:bidi w:val="0"/>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声环境质量现状</w:t>
      </w:r>
    </w:p>
    <w:p w14:paraId="1CBF3E52">
      <w:pPr>
        <w:numPr>
          <w:ilvl w:val="0"/>
          <w:numId w:val="0"/>
        </w:numPr>
        <w:bidi w:val="0"/>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监测期内，布置项目周边的噪声监测点位昼间均能够满足功能区域要求。</w:t>
      </w:r>
    </w:p>
    <w:p w14:paraId="5EA1CEAC">
      <w:pPr>
        <w:pStyle w:val="3"/>
        <w:bidi w:val="0"/>
        <w:rPr>
          <w:rFonts w:hint="default" w:ascii="Times New Roman" w:hAnsi="Times New Roman" w:cs="Times New Roman"/>
          <w:color w:val="auto"/>
          <w:highlight w:val="none"/>
        </w:rPr>
      </w:pPr>
      <w:bookmarkStart w:id="79" w:name="_Toc406099816"/>
      <w:bookmarkStart w:id="80" w:name="_Toc406099540"/>
      <w:bookmarkStart w:id="81" w:name="_Toc406099692"/>
      <w:bookmarkStart w:id="82" w:name="_Toc13291"/>
      <w:r>
        <w:rPr>
          <w:rFonts w:hint="default" w:ascii="Times New Roman" w:hAnsi="Times New Roman" w:cs="Times New Roman"/>
          <w:color w:val="auto"/>
          <w:highlight w:val="none"/>
          <w:lang w:val="en-US" w:eastAsia="zh-CN"/>
        </w:rPr>
        <w:t xml:space="preserve">2.6 </w:t>
      </w:r>
      <w:r>
        <w:rPr>
          <w:rFonts w:hint="default" w:ascii="Times New Roman" w:hAnsi="Times New Roman" w:cs="Times New Roman"/>
          <w:color w:val="auto"/>
          <w:highlight w:val="none"/>
        </w:rPr>
        <w:t>环境</w:t>
      </w:r>
      <w:bookmarkEnd w:id="79"/>
      <w:bookmarkEnd w:id="80"/>
      <w:bookmarkEnd w:id="81"/>
      <w:r>
        <w:rPr>
          <w:rFonts w:hint="default" w:ascii="Times New Roman" w:hAnsi="Times New Roman" w:cs="Times New Roman"/>
          <w:color w:val="auto"/>
          <w:highlight w:val="none"/>
        </w:rPr>
        <w:t>保护目标</w:t>
      </w:r>
      <w:bookmarkEnd w:id="82"/>
    </w:p>
    <w:p w14:paraId="4EF1FE3C">
      <w:pPr>
        <w:rPr>
          <w:rFonts w:hint="default" w:ascii="Times New Roman" w:hAnsi="Times New Roman" w:cs="Times New Roman"/>
          <w:color w:val="auto"/>
          <w:highlight w:val="none"/>
        </w:rPr>
      </w:pPr>
      <w:bookmarkStart w:id="83" w:name="_Toc406099817"/>
      <w:bookmarkStart w:id="84" w:name="_Toc406099541"/>
      <w:bookmarkStart w:id="85" w:name="_Toc406099693"/>
      <w:r>
        <w:rPr>
          <w:rFonts w:hint="default" w:ascii="Times New Roman" w:hAnsi="Times New Roman" w:cs="Times New Roman"/>
          <w:color w:val="auto"/>
          <w:highlight w:val="none"/>
        </w:rPr>
        <w:t>环境保护目标按环境要素分为环境空气、地表水环境、地下水环境、声环境、土壤环境。</w:t>
      </w:r>
    </w:p>
    <w:p w14:paraId="48F2FD85">
      <w:pPr>
        <w:pStyle w:val="28"/>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根据对项目周边情况的调查，评价区内无饮用水源地，无名胜古迹、无国家、省、市重点文物、珍稀动植物等重点环境保护对象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一般环境保护目标见</w:t>
      </w:r>
      <w:r>
        <w:rPr>
          <w:rFonts w:hint="default" w:ascii="Times New Roman" w:hAnsi="Times New Roman" w:cs="Times New Roman"/>
          <w:color w:val="auto"/>
          <w:highlight w:val="none"/>
          <w:lang w:val="en-US" w:eastAsia="zh-CN"/>
        </w:rPr>
        <w:t>下图、下</w:t>
      </w: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eastAsia="zh-CN"/>
        </w:rPr>
        <w:t>。</w:t>
      </w:r>
    </w:p>
    <w:p w14:paraId="03E30DC9">
      <w:pPr>
        <w:bidi w:val="0"/>
        <w:ind w:left="0" w:lef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drawing>
          <wp:inline distT="0" distB="0" distL="114300" distR="114300">
            <wp:extent cx="5271770" cy="4034790"/>
            <wp:effectExtent l="9525" t="9525" r="14605"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6"/>
                    <a:stretch>
                      <a:fillRect/>
                    </a:stretch>
                  </pic:blipFill>
                  <pic:spPr>
                    <a:xfrm>
                      <a:off x="0" y="0"/>
                      <a:ext cx="5271770" cy="4034790"/>
                    </a:xfrm>
                    <a:prstGeom prst="rect">
                      <a:avLst/>
                    </a:prstGeom>
                    <a:noFill/>
                    <a:ln>
                      <a:solidFill>
                        <a:schemeClr val="tx1"/>
                      </a:solidFill>
                    </a:ln>
                  </pic:spPr>
                </pic:pic>
              </a:graphicData>
            </a:graphic>
          </wp:inline>
        </w:drawing>
      </w:r>
    </w:p>
    <w:p w14:paraId="6FC01E3E">
      <w:pPr>
        <w:pStyle w:val="4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 2.6-1 环境保护目标分布图</w:t>
      </w:r>
    </w:p>
    <w:p w14:paraId="4209E9A1">
      <w:pPr>
        <w:pStyle w:val="46"/>
        <w:spacing w:line="50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2.6-1</w:t>
      </w:r>
      <w:r>
        <w:rPr>
          <w:rFonts w:hint="default" w:ascii="Times New Roman" w:hAnsi="Times New Roman" w:cs="Times New Roman"/>
          <w:color w:val="auto"/>
          <w:highlight w:val="none"/>
        </w:rPr>
        <w:t xml:space="preserve"> 主要环境保护目标及级别</w:t>
      </w:r>
    </w:p>
    <w:tbl>
      <w:tblPr>
        <w:tblStyle w:val="29"/>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5"/>
        <w:gridCol w:w="2226"/>
        <w:gridCol w:w="1296"/>
        <w:gridCol w:w="1582"/>
        <w:gridCol w:w="3287"/>
      </w:tblGrid>
      <w:tr w14:paraId="684E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1005" w:type="dxa"/>
            <w:vAlign w:val="center"/>
          </w:tcPr>
          <w:p w14:paraId="062DF15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保护类别</w:t>
            </w:r>
          </w:p>
        </w:tc>
        <w:tc>
          <w:tcPr>
            <w:tcW w:w="2226" w:type="dxa"/>
            <w:vAlign w:val="center"/>
          </w:tcPr>
          <w:p w14:paraId="046CE8A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保护目标</w:t>
            </w:r>
          </w:p>
        </w:tc>
        <w:tc>
          <w:tcPr>
            <w:tcW w:w="1296" w:type="dxa"/>
            <w:vAlign w:val="center"/>
          </w:tcPr>
          <w:p w14:paraId="408CFE9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距厂界方位</w:t>
            </w:r>
          </w:p>
        </w:tc>
        <w:tc>
          <w:tcPr>
            <w:tcW w:w="1582" w:type="dxa"/>
            <w:vAlign w:val="center"/>
          </w:tcPr>
          <w:p w14:paraId="3C3911C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距厂界距离m</w:t>
            </w:r>
          </w:p>
        </w:tc>
        <w:tc>
          <w:tcPr>
            <w:tcW w:w="3287" w:type="dxa"/>
            <w:vAlign w:val="center"/>
          </w:tcPr>
          <w:p w14:paraId="7526879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保护级别</w:t>
            </w:r>
          </w:p>
        </w:tc>
      </w:tr>
      <w:tr w14:paraId="4CAB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restart"/>
            <w:vAlign w:val="center"/>
          </w:tcPr>
          <w:p w14:paraId="50D865D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w:t>
            </w:r>
          </w:p>
        </w:tc>
        <w:tc>
          <w:tcPr>
            <w:tcW w:w="2226" w:type="dxa"/>
            <w:vAlign w:val="center"/>
          </w:tcPr>
          <w:p w14:paraId="3553645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东沙学校</w:t>
            </w:r>
          </w:p>
        </w:tc>
        <w:tc>
          <w:tcPr>
            <w:tcW w:w="1296" w:type="dxa"/>
            <w:vAlign w:val="center"/>
          </w:tcPr>
          <w:p w14:paraId="1D9C4F9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北</w:t>
            </w:r>
          </w:p>
        </w:tc>
        <w:tc>
          <w:tcPr>
            <w:tcW w:w="1582" w:type="dxa"/>
            <w:vAlign w:val="center"/>
          </w:tcPr>
          <w:p w14:paraId="1CAF87B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1913</w:t>
            </w:r>
          </w:p>
        </w:tc>
        <w:tc>
          <w:tcPr>
            <w:tcW w:w="3287" w:type="dxa"/>
            <w:vMerge w:val="restart"/>
            <w:vAlign w:val="center"/>
          </w:tcPr>
          <w:p w14:paraId="6F0FA74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《环境空气质量标准》（GB3095-2012）二级</w:t>
            </w:r>
          </w:p>
        </w:tc>
      </w:tr>
      <w:tr w14:paraId="1D02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25431083">
            <w:pPr>
              <w:pStyle w:val="45"/>
              <w:bidi w:val="0"/>
              <w:rPr>
                <w:rFonts w:hint="default" w:ascii="Times New Roman" w:hAnsi="Times New Roman" w:cs="Times New Roman"/>
                <w:color w:val="auto"/>
                <w:highlight w:val="none"/>
              </w:rPr>
            </w:pPr>
          </w:p>
        </w:tc>
        <w:tc>
          <w:tcPr>
            <w:tcW w:w="2226" w:type="dxa"/>
            <w:vAlign w:val="center"/>
          </w:tcPr>
          <w:p w14:paraId="2923440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东沙学校</w:t>
            </w:r>
          </w:p>
        </w:tc>
        <w:tc>
          <w:tcPr>
            <w:tcW w:w="1296" w:type="dxa"/>
            <w:vAlign w:val="center"/>
          </w:tcPr>
          <w:p w14:paraId="4A37FD4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西南</w:t>
            </w:r>
          </w:p>
        </w:tc>
        <w:tc>
          <w:tcPr>
            <w:tcW w:w="1582" w:type="dxa"/>
            <w:vAlign w:val="center"/>
          </w:tcPr>
          <w:p w14:paraId="169FA97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3651</w:t>
            </w:r>
          </w:p>
        </w:tc>
        <w:tc>
          <w:tcPr>
            <w:tcW w:w="3287" w:type="dxa"/>
            <w:vMerge w:val="continue"/>
            <w:vAlign w:val="center"/>
          </w:tcPr>
          <w:p w14:paraId="7143FB69">
            <w:pPr>
              <w:pStyle w:val="45"/>
              <w:bidi w:val="0"/>
              <w:rPr>
                <w:rFonts w:hint="default" w:ascii="Times New Roman" w:hAnsi="Times New Roman" w:cs="Times New Roman"/>
                <w:color w:val="auto"/>
                <w:highlight w:val="none"/>
              </w:rPr>
            </w:pPr>
          </w:p>
        </w:tc>
      </w:tr>
      <w:tr w14:paraId="614B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6B3C0081">
            <w:pPr>
              <w:pStyle w:val="45"/>
              <w:bidi w:val="0"/>
              <w:rPr>
                <w:rFonts w:hint="default" w:ascii="Times New Roman" w:hAnsi="Times New Roman" w:cs="Times New Roman"/>
                <w:color w:val="auto"/>
                <w:highlight w:val="none"/>
              </w:rPr>
            </w:pPr>
          </w:p>
        </w:tc>
        <w:tc>
          <w:tcPr>
            <w:tcW w:w="2226" w:type="dxa"/>
            <w:vAlign w:val="center"/>
          </w:tcPr>
          <w:p w14:paraId="44FB453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常熟市福山中心小学</w:t>
            </w:r>
          </w:p>
        </w:tc>
        <w:tc>
          <w:tcPr>
            <w:tcW w:w="1296" w:type="dxa"/>
            <w:vAlign w:val="center"/>
          </w:tcPr>
          <w:p w14:paraId="1393A03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西南</w:t>
            </w:r>
          </w:p>
        </w:tc>
        <w:tc>
          <w:tcPr>
            <w:tcW w:w="1582" w:type="dxa"/>
            <w:vAlign w:val="center"/>
          </w:tcPr>
          <w:p w14:paraId="14FC5FD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3498</w:t>
            </w:r>
          </w:p>
        </w:tc>
        <w:tc>
          <w:tcPr>
            <w:tcW w:w="3287" w:type="dxa"/>
            <w:vMerge w:val="continue"/>
            <w:vAlign w:val="center"/>
          </w:tcPr>
          <w:p w14:paraId="201C54DC">
            <w:pPr>
              <w:pStyle w:val="45"/>
              <w:bidi w:val="0"/>
              <w:rPr>
                <w:rFonts w:hint="default" w:ascii="Times New Roman" w:hAnsi="Times New Roman" w:cs="Times New Roman"/>
                <w:color w:val="auto"/>
                <w:highlight w:val="none"/>
              </w:rPr>
            </w:pPr>
          </w:p>
        </w:tc>
      </w:tr>
      <w:tr w14:paraId="229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092907BB">
            <w:pPr>
              <w:pStyle w:val="45"/>
              <w:bidi w:val="0"/>
              <w:rPr>
                <w:rFonts w:hint="default" w:ascii="Times New Roman" w:hAnsi="Times New Roman" w:cs="Times New Roman"/>
                <w:color w:val="auto"/>
                <w:highlight w:val="none"/>
              </w:rPr>
            </w:pPr>
          </w:p>
        </w:tc>
        <w:tc>
          <w:tcPr>
            <w:tcW w:w="2226" w:type="dxa"/>
            <w:shd w:val="clear" w:color="auto" w:fill="auto"/>
            <w:vAlign w:val="center"/>
          </w:tcPr>
          <w:p w14:paraId="6F5C58C0">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常熟市福山中学</w:t>
            </w:r>
          </w:p>
        </w:tc>
        <w:tc>
          <w:tcPr>
            <w:tcW w:w="1296" w:type="dxa"/>
            <w:shd w:val="clear" w:color="auto" w:fill="auto"/>
            <w:vAlign w:val="center"/>
          </w:tcPr>
          <w:p w14:paraId="67DAB70D">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西南</w:t>
            </w:r>
          </w:p>
        </w:tc>
        <w:tc>
          <w:tcPr>
            <w:tcW w:w="1582" w:type="dxa"/>
            <w:vAlign w:val="center"/>
          </w:tcPr>
          <w:p w14:paraId="150646F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3970</w:t>
            </w:r>
          </w:p>
        </w:tc>
        <w:tc>
          <w:tcPr>
            <w:tcW w:w="3287" w:type="dxa"/>
            <w:vMerge w:val="continue"/>
            <w:vAlign w:val="center"/>
          </w:tcPr>
          <w:p w14:paraId="70C690A0">
            <w:pPr>
              <w:pStyle w:val="45"/>
              <w:bidi w:val="0"/>
              <w:rPr>
                <w:rFonts w:hint="default" w:ascii="Times New Roman" w:hAnsi="Times New Roman" w:cs="Times New Roman"/>
                <w:color w:val="auto"/>
                <w:highlight w:val="none"/>
              </w:rPr>
            </w:pPr>
          </w:p>
        </w:tc>
      </w:tr>
      <w:tr w14:paraId="0B7A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057004E1">
            <w:pPr>
              <w:pStyle w:val="45"/>
              <w:bidi w:val="0"/>
              <w:rPr>
                <w:rFonts w:hint="default" w:ascii="Times New Roman" w:hAnsi="Times New Roman" w:cs="Times New Roman"/>
                <w:color w:val="auto"/>
                <w:highlight w:val="none"/>
              </w:rPr>
            </w:pPr>
          </w:p>
        </w:tc>
        <w:tc>
          <w:tcPr>
            <w:tcW w:w="2226" w:type="dxa"/>
            <w:shd w:val="clear" w:color="auto" w:fill="auto"/>
            <w:vAlign w:val="center"/>
          </w:tcPr>
          <w:p w14:paraId="0A4226E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东沙幼儿园（少年路）</w:t>
            </w:r>
          </w:p>
        </w:tc>
        <w:tc>
          <w:tcPr>
            <w:tcW w:w="1296" w:type="dxa"/>
            <w:shd w:val="clear" w:color="auto" w:fill="auto"/>
            <w:vAlign w:val="center"/>
          </w:tcPr>
          <w:p w14:paraId="657A7FAC">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北</w:t>
            </w:r>
          </w:p>
        </w:tc>
        <w:tc>
          <w:tcPr>
            <w:tcW w:w="1582" w:type="dxa"/>
            <w:vAlign w:val="center"/>
          </w:tcPr>
          <w:p w14:paraId="08BA900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1917</w:t>
            </w:r>
          </w:p>
        </w:tc>
        <w:tc>
          <w:tcPr>
            <w:tcW w:w="3287" w:type="dxa"/>
            <w:vMerge w:val="continue"/>
            <w:vAlign w:val="center"/>
          </w:tcPr>
          <w:p w14:paraId="36FA1BE0">
            <w:pPr>
              <w:pStyle w:val="45"/>
              <w:bidi w:val="0"/>
              <w:rPr>
                <w:rFonts w:hint="default" w:ascii="Times New Roman" w:hAnsi="Times New Roman" w:cs="Times New Roman"/>
                <w:color w:val="auto"/>
                <w:highlight w:val="none"/>
              </w:rPr>
            </w:pPr>
          </w:p>
        </w:tc>
      </w:tr>
      <w:tr w14:paraId="5FFD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05D75BAF">
            <w:pPr>
              <w:pStyle w:val="45"/>
              <w:bidi w:val="0"/>
              <w:rPr>
                <w:rFonts w:hint="default" w:ascii="Times New Roman" w:hAnsi="Times New Roman" w:cs="Times New Roman"/>
                <w:color w:val="auto"/>
                <w:highlight w:val="none"/>
              </w:rPr>
            </w:pPr>
          </w:p>
        </w:tc>
        <w:tc>
          <w:tcPr>
            <w:tcW w:w="2226" w:type="dxa"/>
            <w:shd w:val="clear" w:color="auto" w:fill="auto"/>
            <w:vAlign w:val="center"/>
          </w:tcPr>
          <w:p w14:paraId="407DA918">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苏桥花苑</w:t>
            </w:r>
          </w:p>
        </w:tc>
        <w:tc>
          <w:tcPr>
            <w:tcW w:w="1296" w:type="dxa"/>
            <w:shd w:val="clear" w:color="auto" w:fill="auto"/>
            <w:vAlign w:val="center"/>
          </w:tcPr>
          <w:p w14:paraId="670E5C9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西南</w:t>
            </w:r>
          </w:p>
        </w:tc>
        <w:tc>
          <w:tcPr>
            <w:tcW w:w="1582" w:type="dxa"/>
            <w:vAlign w:val="center"/>
          </w:tcPr>
          <w:p w14:paraId="0E992B3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3592</w:t>
            </w:r>
          </w:p>
        </w:tc>
        <w:tc>
          <w:tcPr>
            <w:tcW w:w="3287" w:type="dxa"/>
            <w:vMerge w:val="continue"/>
            <w:vAlign w:val="center"/>
          </w:tcPr>
          <w:p w14:paraId="24F458F7">
            <w:pPr>
              <w:pStyle w:val="45"/>
              <w:bidi w:val="0"/>
              <w:rPr>
                <w:rFonts w:hint="default" w:ascii="Times New Roman" w:hAnsi="Times New Roman" w:cs="Times New Roman"/>
                <w:color w:val="auto"/>
                <w:highlight w:val="none"/>
              </w:rPr>
            </w:pPr>
          </w:p>
        </w:tc>
      </w:tr>
      <w:tr w14:paraId="763B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2003A174">
            <w:pPr>
              <w:pStyle w:val="45"/>
              <w:bidi w:val="0"/>
              <w:rPr>
                <w:rFonts w:hint="default" w:ascii="Times New Roman" w:hAnsi="Times New Roman" w:cs="Times New Roman"/>
                <w:color w:val="auto"/>
                <w:highlight w:val="none"/>
              </w:rPr>
            </w:pPr>
          </w:p>
        </w:tc>
        <w:tc>
          <w:tcPr>
            <w:tcW w:w="2226" w:type="dxa"/>
            <w:vAlign w:val="center"/>
          </w:tcPr>
          <w:p w14:paraId="3AE6DAB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启迪之星（常熟）2期</w:t>
            </w:r>
          </w:p>
        </w:tc>
        <w:tc>
          <w:tcPr>
            <w:tcW w:w="1296" w:type="dxa"/>
            <w:vAlign w:val="center"/>
          </w:tcPr>
          <w:p w14:paraId="1542B918">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西南</w:t>
            </w:r>
          </w:p>
        </w:tc>
        <w:tc>
          <w:tcPr>
            <w:tcW w:w="1582" w:type="dxa"/>
            <w:vAlign w:val="center"/>
          </w:tcPr>
          <w:p w14:paraId="6B10C16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1510</w:t>
            </w:r>
          </w:p>
        </w:tc>
        <w:tc>
          <w:tcPr>
            <w:tcW w:w="3287" w:type="dxa"/>
            <w:vMerge w:val="continue"/>
            <w:vAlign w:val="center"/>
          </w:tcPr>
          <w:p w14:paraId="1F909B59">
            <w:pPr>
              <w:pStyle w:val="45"/>
              <w:bidi w:val="0"/>
              <w:rPr>
                <w:rFonts w:hint="default" w:ascii="Times New Roman" w:hAnsi="Times New Roman" w:cs="Times New Roman"/>
                <w:color w:val="auto"/>
                <w:highlight w:val="none"/>
              </w:rPr>
            </w:pPr>
          </w:p>
        </w:tc>
      </w:tr>
      <w:tr w14:paraId="54D2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003B0960">
            <w:pPr>
              <w:pStyle w:val="45"/>
              <w:bidi w:val="0"/>
              <w:rPr>
                <w:rFonts w:hint="default" w:ascii="Times New Roman" w:hAnsi="Times New Roman" w:cs="Times New Roman"/>
                <w:color w:val="auto"/>
                <w:highlight w:val="none"/>
              </w:rPr>
            </w:pPr>
          </w:p>
        </w:tc>
        <w:tc>
          <w:tcPr>
            <w:tcW w:w="2226" w:type="dxa"/>
            <w:vAlign w:val="center"/>
          </w:tcPr>
          <w:p w14:paraId="61C6A98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聚福佳苑</w:t>
            </w:r>
          </w:p>
        </w:tc>
        <w:tc>
          <w:tcPr>
            <w:tcW w:w="1296" w:type="dxa"/>
            <w:vAlign w:val="center"/>
          </w:tcPr>
          <w:p w14:paraId="4072A3B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西南</w:t>
            </w:r>
          </w:p>
        </w:tc>
        <w:tc>
          <w:tcPr>
            <w:tcW w:w="1582" w:type="dxa"/>
            <w:vAlign w:val="center"/>
          </w:tcPr>
          <w:p w14:paraId="0D32F44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3741</w:t>
            </w:r>
          </w:p>
        </w:tc>
        <w:tc>
          <w:tcPr>
            <w:tcW w:w="3287" w:type="dxa"/>
            <w:vMerge w:val="continue"/>
            <w:vAlign w:val="center"/>
          </w:tcPr>
          <w:p w14:paraId="278A7FF0">
            <w:pPr>
              <w:pStyle w:val="45"/>
              <w:bidi w:val="0"/>
              <w:rPr>
                <w:rFonts w:hint="default" w:ascii="Times New Roman" w:hAnsi="Times New Roman" w:cs="Times New Roman"/>
                <w:color w:val="auto"/>
                <w:highlight w:val="none"/>
              </w:rPr>
            </w:pPr>
          </w:p>
        </w:tc>
      </w:tr>
      <w:tr w14:paraId="715D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restart"/>
            <w:vAlign w:val="center"/>
          </w:tcPr>
          <w:p w14:paraId="586890E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w:t>
            </w:r>
          </w:p>
        </w:tc>
        <w:tc>
          <w:tcPr>
            <w:tcW w:w="2226" w:type="dxa"/>
            <w:vAlign w:val="center"/>
          </w:tcPr>
          <w:p w14:paraId="6CF06E6A">
            <w:pPr>
              <w:pStyle w:val="45"/>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福山塘</w:t>
            </w:r>
            <w:r>
              <w:rPr>
                <w:rFonts w:hint="eastAsia" w:cs="Times New Roman"/>
                <w:color w:val="auto"/>
                <w:highlight w:val="none"/>
                <w:lang w:eastAsia="zh-CN"/>
              </w:rPr>
              <w:t>（</w:t>
            </w:r>
            <w:r>
              <w:rPr>
                <w:rFonts w:hint="eastAsia" w:cs="Times New Roman"/>
                <w:color w:val="auto"/>
                <w:highlight w:val="none"/>
                <w:lang w:val="en-US" w:eastAsia="zh-CN"/>
              </w:rPr>
              <w:t>崔福河为福山塘支流</w:t>
            </w:r>
            <w:r>
              <w:rPr>
                <w:rFonts w:hint="eastAsia" w:cs="Times New Roman"/>
                <w:color w:val="auto"/>
                <w:highlight w:val="none"/>
                <w:lang w:eastAsia="zh-CN"/>
              </w:rPr>
              <w:t>）</w:t>
            </w:r>
          </w:p>
        </w:tc>
        <w:tc>
          <w:tcPr>
            <w:tcW w:w="1296" w:type="dxa"/>
            <w:vAlign w:val="center"/>
          </w:tcPr>
          <w:p w14:paraId="032DBF92">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东南</w:t>
            </w:r>
          </w:p>
        </w:tc>
        <w:tc>
          <w:tcPr>
            <w:tcW w:w="1582" w:type="dxa"/>
            <w:vAlign w:val="center"/>
          </w:tcPr>
          <w:p w14:paraId="57A0697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400</w:t>
            </w:r>
          </w:p>
        </w:tc>
        <w:tc>
          <w:tcPr>
            <w:tcW w:w="3287" w:type="dxa"/>
            <w:vAlign w:val="center"/>
          </w:tcPr>
          <w:p w14:paraId="52DDDB4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《地表水环境质量标准》（GB3838-2002）</w:t>
            </w:r>
            <w:r>
              <w:rPr>
                <w:rFonts w:hint="default" w:ascii="Times New Roman" w:hAnsi="Times New Roman" w:cs="Times New Roman"/>
                <w:color w:val="auto"/>
                <w:highlight w:val="none"/>
                <w:lang w:val="en-US" w:eastAsia="zh-CN"/>
              </w:rPr>
              <w:t>Ⅲ类标准</w:t>
            </w:r>
          </w:p>
        </w:tc>
      </w:tr>
      <w:tr w14:paraId="3642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56A587BF">
            <w:pPr>
              <w:pStyle w:val="45"/>
              <w:bidi w:val="0"/>
              <w:rPr>
                <w:rFonts w:hint="default" w:ascii="Times New Roman" w:hAnsi="Times New Roman" w:cs="Times New Roman"/>
                <w:color w:val="auto"/>
                <w:highlight w:val="none"/>
              </w:rPr>
            </w:pPr>
          </w:p>
        </w:tc>
        <w:tc>
          <w:tcPr>
            <w:tcW w:w="2226" w:type="dxa"/>
            <w:vAlign w:val="center"/>
          </w:tcPr>
          <w:p w14:paraId="48D7DBF6">
            <w:pPr>
              <w:pStyle w:val="45"/>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崔福河</w:t>
            </w:r>
            <w:r>
              <w:rPr>
                <w:rFonts w:hint="eastAsia" w:cs="Times New Roman"/>
                <w:color w:val="auto"/>
                <w:highlight w:val="none"/>
                <w:lang w:eastAsia="zh-CN"/>
              </w:rPr>
              <w:t>（</w:t>
            </w:r>
            <w:r>
              <w:rPr>
                <w:rFonts w:hint="eastAsia" w:cs="Times New Roman"/>
                <w:color w:val="auto"/>
                <w:highlight w:val="none"/>
                <w:lang w:val="en-US" w:eastAsia="zh-CN"/>
              </w:rPr>
              <w:t>企业雨水处理后收纳水体</w:t>
            </w:r>
            <w:r>
              <w:rPr>
                <w:rFonts w:hint="eastAsia" w:cs="Times New Roman"/>
                <w:color w:val="auto"/>
                <w:highlight w:val="none"/>
                <w:lang w:eastAsia="zh-CN"/>
              </w:rPr>
              <w:t>）</w:t>
            </w:r>
          </w:p>
        </w:tc>
        <w:tc>
          <w:tcPr>
            <w:tcW w:w="1296" w:type="dxa"/>
            <w:vAlign w:val="center"/>
          </w:tcPr>
          <w:p w14:paraId="6B872A0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南</w:t>
            </w:r>
          </w:p>
        </w:tc>
        <w:tc>
          <w:tcPr>
            <w:tcW w:w="1582" w:type="dxa"/>
            <w:vAlign w:val="center"/>
          </w:tcPr>
          <w:p w14:paraId="58DAC9DC">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紧邻</w:t>
            </w:r>
          </w:p>
        </w:tc>
        <w:tc>
          <w:tcPr>
            <w:tcW w:w="3287" w:type="dxa"/>
            <w:vAlign w:val="center"/>
          </w:tcPr>
          <w:p w14:paraId="58F628B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《地表水环境质量标准》（GB3838-2002）</w:t>
            </w:r>
            <w:r>
              <w:rPr>
                <w:rFonts w:hint="default" w:ascii="Times New Roman" w:hAnsi="Times New Roman" w:cs="Times New Roman"/>
                <w:color w:val="auto"/>
                <w:highlight w:val="none"/>
                <w:lang w:val="en-US" w:eastAsia="zh-CN"/>
              </w:rPr>
              <w:t>Ⅲ类标准</w:t>
            </w:r>
          </w:p>
        </w:tc>
      </w:tr>
      <w:tr w14:paraId="2A02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Merge w:val="continue"/>
            <w:vAlign w:val="center"/>
          </w:tcPr>
          <w:p w14:paraId="23EC8845">
            <w:pPr>
              <w:pStyle w:val="45"/>
              <w:bidi w:val="0"/>
              <w:rPr>
                <w:rFonts w:hint="default" w:ascii="Times New Roman" w:hAnsi="Times New Roman" w:cs="Times New Roman"/>
                <w:color w:val="auto"/>
                <w:highlight w:val="none"/>
              </w:rPr>
            </w:pPr>
          </w:p>
        </w:tc>
        <w:tc>
          <w:tcPr>
            <w:tcW w:w="2226" w:type="dxa"/>
            <w:vAlign w:val="center"/>
          </w:tcPr>
          <w:p w14:paraId="7A1F72D8">
            <w:pPr>
              <w:pStyle w:val="45"/>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走马塘</w:t>
            </w:r>
            <w:r>
              <w:rPr>
                <w:rFonts w:hint="eastAsia" w:cs="Times New Roman"/>
                <w:color w:val="auto"/>
                <w:highlight w:val="none"/>
                <w:lang w:eastAsia="zh-CN"/>
              </w:rPr>
              <w:t>（</w:t>
            </w:r>
            <w:r>
              <w:rPr>
                <w:rFonts w:hint="eastAsia" w:cs="Times New Roman"/>
                <w:color w:val="auto"/>
                <w:highlight w:val="none"/>
                <w:lang w:val="en-US" w:eastAsia="zh-CN"/>
              </w:rPr>
              <w:t>企业污水处理后收纳水体</w:t>
            </w:r>
            <w:r>
              <w:rPr>
                <w:rFonts w:hint="eastAsia" w:cs="Times New Roman"/>
                <w:color w:val="auto"/>
                <w:highlight w:val="none"/>
                <w:lang w:eastAsia="zh-CN"/>
              </w:rPr>
              <w:t>）</w:t>
            </w:r>
          </w:p>
        </w:tc>
        <w:tc>
          <w:tcPr>
            <w:tcW w:w="1296" w:type="dxa"/>
            <w:vAlign w:val="center"/>
          </w:tcPr>
          <w:p w14:paraId="43B937DB">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西北</w:t>
            </w:r>
          </w:p>
        </w:tc>
        <w:tc>
          <w:tcPr>
            <w:tcW w:w="1582" w:type="dxa"/>
            <w:vAlign w:val="center"/>
          </w:tcPr>
          <w:p w14:paraId="2BE08EC6">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2100</w:t>
            </w:r>
          </w:p>
        </w:tc>
        <w:tc>
          <w:tcPr>
            <w:tcW w:w="3287" w:type="dxa"/>
            <w:vAlign w:val="center"/>
          </w:tcPr>
          <w:p w14:paraId="3701ECA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《地表水环境质量标准》（GB3838-2002）</w:t>
            </w:r>
            <w:r>
              <w:rPr>
                <w:rFonts w:hint="default" w:ascii="Times New Roman" w:hAnsi="Times New Roman" w:cs="Times New Roman"/>
                <w:color w:val="auto"/>
                <w:highlight w:val="none"/>
                <w:lang w:val="en-US" w:eastAsia="zh-CN"/>
              </w:rPr>
              <w:t>Ⅳ类标准</w:t>
            </w:r>
          </w:p>
        </w:tc>
      </w:tr>
      <w:tr w14:paraId="23E2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Align w:val="center"/>
          </w:tcPr>
          <w:p w14:paraId="665A4AB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p>
        </w:tc>
        <w:tc>
          <w:tcPr>
            <w:tcW w:w="5104" w:type="dxa"/>
            <w:gridSpan w:val="3"/>
            <w:vAlign w:val="center"/>
          </w:tcPr>
          <w:p w14:paraId="1DB3FE9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企业地下水上游、下游1km范围内</w:t>
            </w:r>
          </w:p>
        </w:tc>
        <w:tc>
          <w:tcPr>
            <w:tcW w:w="3287" w:type="dxa"/>
            <w:vAlign w:val="center"/>
          </w:tcPr>
          <w:p w14:paraId="739962E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《地下水质量标准》（GB/T14848-2017）III类</w:t>
            </w:r>
          </w:p>
        </w:tc>
      </w:tr>
      <w:tr w14:paraId="4B85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Align w:val="center"/>
          </w:tcPr>
          <w:p w14:paraId="142E4B5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tc>
        <w:tc>
          <w:tcPr>
            <w:tcW w:w="5104" w:type="dxa"/>
            <w:gridSpan w:val="3"/>
            <w:vAlign w:val="center"/>
          </w:tcPr>
          <w:p w14:paraId="5C6FCC1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厂界外200m范围内</w:t>
            </w:r>
          </w:p>
        </w:tc>
        <w:tc>
          <w:tcPr>
            <w:tcW w:w="3287" w:type="dxa"/>
            <w:vAlign w:val="center"/>
          </w:tcPr>
          <w:p w14:paraId="4CD4DD1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《工业企业厂界环境噪声标 排放准》（GB 12348-2008）中的3类标准</w:t>
            </w:r>
          </w:p>
        </w:tc>
      </w:tr>
      <w:tr w14:paraId="3A04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05" w:type="dxa"/>
            <w:vAlign w:val="center"/>
          </w:tcPr>
          <w:p w14:paraId="0C6B1D34">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土壤环境</w:t>
            </w:r>
          </w:p>
        </w:tc>
        <w:tc>
          <w:tcPr>
            <w:tcW w:w="5104" w:type="dxa"/>
            <w:gridSpan w:val="3"/>
            <w:vAlign w:val="center"/>
          </w:tcPr>
          <w:p w14:paraId="3491472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厂界外1000m范围内</w:t>
            </w:r>
          </w:p>
        </w:tc>
        <w:tc>
          <w:tcPr>
            <w:tcW w:w="3287" w:type="dxa"/>
            <w:vAlign w:val="center"/>
          </w:tcPr>
          <w:p w14:paraId="6FE1A7A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《土壤环境质量-建设用地土壤污染风险管控标准（试行）》（GB36600-2018）</w:t>
            </w:r>
          </w:p>
          <w:p w14:paraId="054664FE">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第一类用地（农用地）</w:t>
            </w:r>
          </w:p>
          <w:p w14:paraId="1386496C">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第二类用地（工业用地）</w:t>
            </w:r>
          </w:p>
        </w:tc>
      </w:tr>
    </w:tbl>
    <w:p w14:paraId="4EF4C7C1">
      <w:pPr>
        <w:pStyle w:val="2"/>
        <w:bidi w:val="0"/>
        <w:rPr>
          <w:rFonts w:hint="default" w:ascii="Times New Roman" w:hAnsi="Times New Roman" w:cs="Times New Roman"/>
          <w:color w:val="auto"/>
          <w:highlight w:val="none"/>
        </w:rPr>
      </w:pPr>
      <w:bookmarkStart w:id="86" w:name="_Toc19202"/>
      <w:r>
        <w:rPr>
          <w:rFonts w:hint="default" w:ascii="Times New Roman" w:hAnsi="Times New Roman" w:cs="Times New Roman"/>
          <w:color w:val="auto"/>
          <w:highlight w:val="none"/>
          <w:lang w:val="en-US" w:eastAsia="zh-CN"/>
        </w:rPr>
        <w:t xml:space="preserve">3 </w:t>
      </w:r>
      <w:r>
        <w:rPr>
          <w:rFonts w:hint="default" w:ascii="Times New Roman" w:hAnsi="Times New Roman" w:cs="Times New Roman"/>
          <w:color w:val="auto"/>
          <w:highlight w:val="none"/>
        </w:rPr>
        <w:t>环境管理体系</w:t>
      </w:r>
      <w:bookmarkEnd w:id="83"/>
      <w:bookmarkEnd w:id="84"/>
      <w:bookmarkEnd w:id="85"/>
      <w:bookmarkEnd w:id="86"/>
    </w:p>
    <w:p w14:paraId="732C22B6">
      <w:pPr>
        <w:pStyle w:val="3"/>
        <w:bidi w:val="0"/>
        <w:rPr>
          <w:rFonts w:hint="default" w:ascii="Times New Roman" w:hAnsi="Times New Roman" w:cs="Times New Roman"/>
          <w:color w:val="auto"/>
          <w:highlight w:val="none"/>
        </w:rPr>
      </w:pPr>
      <w:bookmarkStart w:id="87" w:name="_Toc406099818"/>
      <w:bookmarkStart w:id="88" w:name="_Toc23164"/>
      <w:bookmarkStart w:id="89" w:name="_Toc406099694"/>
      <w:bookmarkStart w:id="90" w:name="_Toc406099542"/>
      <w:r>
        <w:rPr>
          <w:rFonts w:hint="default" w:ascii="Times New Roman" w:hAnsi="Times New Roman" w:cs="Times New Roman"/>
          <w:color w:val="auto"/>
          <w:highlight w:val="none"/>
          <w:lang w:val="en-US" w:eastAsia="zh-CN"/>
        </w:rPr>
        <w:t xml:space="preserve">3.1 </w:t>
      </w:r>
      <w:r>
        <w:rPr>
          <w:rFonts w:hint="default" w:ascii="Times New Roman" w:hAnsi="Times New Roman" w:cs="Times New Roman"/>
          <w:color w:val="auto"/>
          <w:highlight w:val="none"/>
        </w:rPr>
        <w:t>参与环境管理的机构</w:t>
      </w:r>
      <w:bookmarkEnd w:id="87"/>
      <w:bookmarkEnd w:id="88"/>
      <w:bookmarkEnd w:id="89"/>
      <w:bookmarkEnd w:id="90"/>
    </w:p>
    <w:p w14:paraId="5BF2936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依照上述本环境管理计划的目的，需区分不同的环境管理机构，每个机构相关的工作人员均需持有本《环境管理计划》文件。在项目实施过程中，各机构应相互配合工作并及时交流，交涉记录表可参照</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，确保项目有效落实环境管理行为。具体环境管理结构的划分见图3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w:t>
      </w:r>
    </w:p>
    <w:p w14:paraId="0717E7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74310" cy="43802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a:stretch>
                      <a:fillRect/>
                    </a:stretch>
                  </pic:blipFill>
                  <pic:spPr>
                    <a:xfrm>
                      <a:off x="0" y="0"/>
                      <a:ext cx="5274310" cy="4380230"/>
                    </a:xfrm>
                    <a:prstGeom prst="rect">
                      <a:avLst/>
                    </a:prstGeom>
                    <a:noFill/>
                    <a:ln>
                      <a:noFill/>
                    </a:ln>
                  </pic:spPr>
                </pic:pic>
              </a:graphicData>
            </a:graphic>
          </wp:inline>
        </w:drawing>
      </w:r>
    </w:p>
    <w:p w14:paraId="59817497">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环境管理结构图</w:t>
      </w:r>
    </w:p>
    <w:p w14:paraId="783AAAC4">
      <w:pPr>
        <w:pStyle w:val="46"/>
        <w:bidi w:val="0"/>
        <w:rPr>
          <w:rFonts w:hint="default" w:ascii="Times New Roman" w:hAnsi="Times New Roman" w:cs="Times New Roman"/>
          <w:color w:val="auto"/>
        </w:rPr>
      </w:pPr>
      <w:bookmarkStart w:id="91" w:name="_Toc406161967"/>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3.1-1 </w:t>
      </w:r>
      <w:r>
        <w:rPr>
          <w:rFonts w:hint="default" w:ascii="Times New Roman" w:hAnsi="Times New Roman" w:cs="Times New Roman"/>
          <w:color w:val="auto"/>
        </w:rPr>
        <w:t>HCFC-141b生产线拆除项目各机构交涉记录表</w:t>
      </w:r>
      <w:bookmarkEnd w:id="91"/>
    </w:p>
    <w:tbl>
      <w:tblPr>
        <w:tblStyle w:val="29"/>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292"/>
        <w:gridCol w:w="1780"/>
        <w:gridCol w:w="3388"/>
      </w:tblGrid>
      <w:tr w14:paraId="7AEE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912" w:type="dxa"/>
            <w:gridSpan w:val="2"/>
            <w:vAlign w:val="center"/>
          </w:tcPr>
          <w:p w14:paraId="0D5225A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交涉问题</w:t>
            </w:r>
          </w:p>
        </w:tc>
        <w:tc>
          <w:tcPr>
            <w:tcW w:w="5168" w:type="dxa"/>
            <w:gridSpan w:val="2"/>
            <w:vAlign w:val="center"/>
          </w:tcPr>
          <w:p w14:paraId="00C61ED9">
            <w:pPr>
              <w:pStyle w:val="45"/>
              <w:bidi w:val="0"/>
              <w:rPr>
                <w:rFonts w:hint="default" w:ascii="Times New Roman" w:hAnsi="Times New Roman" w:cs="Times New Roman"/>
                <w:color w:val="auto"/>
                <w:highlight w:val="none"/>
              </w:rPr>
            </w:pPr>
          </w:p>
        </w:tc>
      </w:tr>
      <w:tr w14:paraId="44A8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1620" w:type="dxa"/>
            <w:vAlign w:val="center"/>
          </w:tcPr>
          <w:p w14:paraId="6945F44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交涉人员</w:t>
            </w:r>
          </w:p>
        </w:tc>
        <w:tc>
          <w:tcPr>
            <w:tcW w:w="1292" w:type="dxa"/>
            <w:vAlign w:val="center"/>
          </w:tcPr>
          <w:p w14:paraId="51C56ABF">
            <w:pPr>
              <w:pStyle w:val="45"/>
              <w:bidi w:val="0"/>
              <w:rPr>
                <w:rFonts w:hint="default" w:ascii="Times New Roman" w:hAnsi="Times New Roman" w:cs="Times New Roman"/>
                <w:color w:val="auto"/>
                <w:highlight w:val="none"/>
              </w:rPr>
            </w:pPr>
          </w:p>
        </w:tc>
        <w:tc>
          <w:tcPr>
            <w:tcW w:w="1780" w:type="dxa"/>
            <w:vAlign w:val="center"/>
          </w:tcPr>
          <w:p w14:paraId="39BA6EF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交涉时间</w:t>
            </w:r>
          </w:p>
        </w:tc>
        <w:tc>
          <w:tcPr>
            <w:tcW w:w="3388" w:type="dxa"/>
            <w:vAlign w:val="center"/>
          </w:tcPr>
          <w:p w14:paraId="033972A6">
            <w:pPr>
              <w:pStyle w:val="45"/>
              <w:bidi w:val="0"/>
              <w:rPr>
                <w:rFonts w:hint="default" w:ascii="Times New Roman" w:hAnsi="Times New Roman" w:cs="Times New Roman"/>
                <w:color w:val="auto"/>
                <w:highlight w:val="none"/>
              </w:rPr>
            </w:pPr>
          </w:p>
        </w:tc>
      </w:tr>
      <w:tr w14:paraId="109B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jc w:val="center"/>
        </w:trPr>
        <w:tc>
          <w:tcPr>
            <w:tcW w:w="8080" w:type="dxa"/>
            <w:gridSpan w:val="4"/>
            <w:tcBorders>
              <w:bottom w:val="single" w:color="auto" w:sz="4" w:space="0"/>
            </w:tcBorders>
          </w:tcPr>
          <w:p w14:paraId="5BAC6F25">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交流方式：</w:t>
            </w:r>
          </w:p>
          <w:p w14:paraId="40992E2A">
            <w:pPr>
              <w:pStyle w:val="45"/>
              <w:bidi w:val="0"/>
              <w:jc w:val="left"/>
              <w:rPr>
                <w:rFonts w:hint="default" w:ascii="Times New Roman" w:hAnsi="Times New Roman" w:cs="Times New Roman"/>
                <w:color w:val="auto"/>
                <w:highlight w:val="none"/>
              </w:rPr>
            </w:pPr>
          </w:p>
        </w:tc>
      </w:tr>
      <w:tr w14:paraId="6A9C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0" w:hRule="atLeast"/>
          <w:jc w:val="center"/>
        </w:trPr>
        <w:tc>
          <w:tcPr>
            <w:tcW w:w="8080" w:type="dxa"/>
            <w:gridSpan w:val="4"/>
            <w:tcBorders>
              <w:bottom w:val="single" w:color="auto" w:sz="4" w:space="0"/>
            </w:tcBorders>
          </w:tcPr>
          <w:p w14:paraId="1E4B313F">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交流内容：</w:t>
            </w:r>
          </w:p>
          <w:p w14:paraId="7CACD099">
            <w:pPr>
              <w:pStyle w:val="45"/>
              <w:bidi w:val="0"/>
              <w:jc w:val="left"/>
              <w:rPr>
                <w:rFonts w:hint="default" w:ascii="Times New Roman" w:hAnsi="Times New Roman" w:cs="Times New Roman"/>
                <w:color w:val="auto"/>
                <w:highlight w:val="none"/>
              </w:rPr>
            </w:pPr>
          </w:p>
          <w:p w14:paraId="7F305004">
            <w:pPr>
              <w:pStyle w:val="45"/>
              <w:bidi w:val="0"/>
              <w:jc w:val="left"/>
              <w:rPr>
                <w:rFonts w:hint="default" w:ascii="Times New Roman" w:hAnsi="Times New Roman" w:cs="Times New Roman"/>
                <w:color w:val="auto"/>
                <w:highlight w:val="none"/>
              </w:rPr>
            </w:pPr>
          </w:p>
          <w:p w14:paraId="5EB3E7E1">
            <w:pPr>
              <w:pStyle w:val="45"/>
              <w:bidi w:val="0"/>
              <w:jc w:val="left"/>
              <w:rPr>
                <w:rFonts w:hint="default" w:ascii="Times New Roman" w:hAnsi="Times New Roman" w:cs="Times New Roman"/>
                <w:color w:val="auto"/>
                <w:highlight w:val="none"/>
              </w:rPr>
            </w:pPr>
          </w:p>
          <w:p w14:paraId="11DF8187">
            <w:pPr>
              <w:pStyle w:val="45"/>
              <w:bidi w:val="0"/>
              <w:jc w:val="left"/>
              <w:rPr>
                <w:rFonts w:hint="default" w:ascii="Times New Roman" w:hAnsi="Times New Roman" w:cs="Times New Roman"/>
                <w:color w:val="auto"/>
                <w:highlight w:val="none"/>
              </w:rPr>
            </w:pPr>
          </w:p>
          <w:p w14:paraId="7BC2E8A1">
            <w:pPr>
              <w:pStyle w:val="45"/>
              <w:bidi w:val="0"/>
              <w:jc w:val="left"/>
              <w:rPr>
                <w:rFonts w:hint="default" w:ascii="Times New Roman" w:hAnsi="Times New Roman" w:cs="Times New Roman"/>
                <w:color w:val="auto"/>
                <w:highlight w:val="none"/>
              </w:rPr>
            </w:pPr>
          </w:p>
          <w:p w14:paraId="2FBE5F4C">
            <w:pPr>
              <w:pStyle w:val="45"/>
              <w:bidi w:val="0"/>
              <w:jc w:val="left"/>
              <w:rPr>
                <w:rFonts w:hint="default" w:ascii="Times New Roman" w:hAnsi="Times New Roman" w:cs="Times New Roman"/>
                <w:color w:val="auto"/>
                <w:highlight w:val="none"/>
              </w:rPr>
            </w:pPr>
          </w:p>
        </w:tc>
      </w:tr>
      <w:tr w14:paraId="664C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8080" w:type="dxa"/>
            <w:gridSpan w:val="4"/>
          </w:tcPr>
          <w:p w14:paraId="713F67C1">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交流结果：</w:t>
            </w:r>
          </w:p>
          <w:p w14:paraId="03840D9C">
            <w:pPr>
              <w:pStyle w:val="45"/>
              <w:bidi w:val="0"/>
              <w:jc w:val="left"/>
              <w:rPr>
                <w:rFonts w:hint="default" w:ascii="Times New Roman" w:hAnsi="Times New Roman" w:cs="Times New Roman"/>
                <w:color w:val="auto"/>
                <w:highlight w:val="none"/>
              </w:rPr>
            </w:pPr>
          </w:p>
          <w:p w14:paraId="1D1327CD">
            <w:pPr>
              <w:pStyle w:val="45"/>
              <w:bidi w:val="0"/>
              <w:jc w:val="left"/>
              <w:rPr>
                <w:rFonts w:hint="default" w:ascii="Times New Roman" w:hAnsi="Times New Roman" w:cs="Times New Roman"/>
                <w:color w:val="auto"/>
                <w:highlight w:val="none"/>
              </w:rPr>
            </w:pPr>
          </w:p>
          <w:p w14:paraId="19B720DA">
            <w:pPr>
              <w:pStyle w:val="45"/>
              <w:bidi w:val="0"/>
              <w:jc w:val="left"/>
              <w:rPr>
                <w:rFonts w:hint="default" w:ascii="Times New Roman" w:hAnsi="Times New Roman" w:cs="Times New Roman"/>
                <w:color w:val="auto"/>
                <w:highlight w:val="none"/>
              </w:rPr>
            </w:pPr>
          </w:p>
          <w:p w14:paraId="523E43CF">
            <w:pPr>
              <w:pStyle w:val="45"/>
              <w:bidi w:val="0"/>
              <w:jc w:val="left"/>
              <w:rPr>
                <w:rFonts w:hint="default" w:ascii="Times New Roman" w:hAnsi="Times New Roman" w:cs="Times New Roman"/>
                <w:color w:val="auto"/>
                <w:highlight w:val="none"/>
              </w:rPr>
            </w:pPr>
          </w:p>
          <w:p w14:paraId="5692ED51">
            <w:pPr>
              <w:pStyle w:val="45"/>
              <w:bidi w:val="0"/>
              <w:jc w:val="left"/>
              <w:rPr>
                <w:rFonts w:hint="default" w:ascii="Times New Roman" w:hAnsi="Times New Roman" w:cs="Times New Roman"/>
                <w:color w:val="auto"/>
                <w:highlight w:val="none"/>
              </w:rPr>
            </w:pPr>
          </w:p>
          <w:p w14:paraId="6BA93848">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实施负责人：                日期：         年         月         日</w:t>
            </w:r>
          </w:p>
          <w:p w14:paraId="1C5CFF62">
            <w:pPr>
              <w:pStyle w:val="45"/>
              <w:bidi w:val="0"/>
              <w:jc w:val="left"/>
              <w:rPr>
                <w:rFonts w:hint="default" w:ascii="Times New Roman" w:hAnsi="Times New Roman" w:cs="Times New Roman"/>
                <w:color w:val="auto"/>
                <w:highlight w:val="none"/>
              </w:rPr>
            </w:pPr>
          </w:p>
        </w:tc>
      </w:tr>
      <w:tr w14:paraId="1492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8080" w:type="dxa"/>
            <w:gridSpan w:val="4"/>
          </w:tcPr>
          <w:p w14:paraId="12BAA150">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遗留问题处理：</w:t>
            </w:r>
          </w:p>
          <w:p w14:paraId="43DEDBF8">
            <w:pPr>
              <w:pStyle w:val="45"/>
              <w:bidi w:val="0"/>
              <w:jc w:val="left"/>
              <w:rPr>
                <w:rFonts w:hint="default" w:ascii="Times New Roman" w:hAnsi="Times New Roman" w:cs="Times New Roman"/>
                <w:color w:val="auto"/>
                <w:highlight w:val="none"/>
              </w:rPr>
            </w:pPr>
          </w:p>
          <w:p w14:paraId="686EF197">
            <w:pPr>
              <w:pStyle w:val="45"/>
              <w:bidi w:val="0"/>
              <w:jc w:val="left"/>
              <w:rPr>
                <w:rFonts w:hint="default" w:ascii="Times New Roman" w:hAnsi="Times New Roman" w:cs="Times New Roman"/>
                <w:color w:val="auto"/>
                <w:highlight w:val="none"/>
              </w:rPr>
            </w:pPr>
          </w:p>
          <w:p w14:paraId="76980CEA">
            <w:pPr>
              <w:pStyle w:val="45"/>
              <w:bidi w:val="0"/>
              <w:jc w:val="left"/>
              <w:rPr>
                <w:rFonts w:hint="default" w:ascii="Times New Roman" w:hAnsi="Times New Roman" w:cs="Times New Roman"/>
                <w:color w:val="auto"/>
                <w:highlight w:val="none"/>
              </w:rPr>
            </w:pPr>
          </w:p>
          <w:p w14:paraId="6DF55F09">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处理负责人： </w:t>
            </w:r>
          </w:p>
          <w:p w14:paraId="50947D94">
            <w:pPr>
              <w:pStyle w:val="45"/>
              <w:bidi w:val="0"/>
              <w:jc w:val="left"/>
              <w:rPr>
                <w:rFonts w:hint="default" w:ascii="Times New Roman" w:hAnsi="Times New Roman" w:cs="Times New Roman"/>
                <w:color w:val="auto"/>
                <w:highlight w:val="none"/>
              </w:rPr>
            </w:pPr>
          </w:p>
        </w:tc>
      </w:tr>
    </w:tbl>
    <w:p w14:paraId="117137CE">
      <w:pPr>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环境管理过程中共涉及两个方面的机构： </w:t>
      </w:r>
    </w:p>
    <w:p w14:paraId="53E74217">
      <w:pPr>
        <w:keepNext w:val="0"/>
        <w:keepLines w:val="0"/>
        <w:pageBreakBefore w:val="0"/>
        <w:widowControl w:val="0"/>
        <w:numPr>
          <w:ilvl w:val="0"/>
          <w:numId w:val="1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负责组织或实施环境管理计划的机构；</w:t>
      </w:r>
    </w:p>
    <w:p w14:paraId="1FF1CE5E">
      <w:pPr>
        <w:keepNext w:val="0"/>
        <w:keepLines w:val="0"/>
        <w:pageBreakBefore w:val="0"/>
        <w:widowControl w:val="0"/>
        <w:numPr>
          <w:ilvl w:val="0"/>
          <w:numId w:val="1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在项目实施期间执行与项目相关的标准、法律和法规，监督环境管理计划实施情况以及总体环境绩效的机构。</w:t>
      </w:r>
    </w:p>
    <w:p w14:paraId="59E73CC6">
      <w:pPr>
        <w:ind w:firstLine="42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各机构的管理职责概述见表3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14:paraId="6EC5A8CA">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环境管理职责概述</w:t>
      </w:r>
    </w:p>
    <w:tbl>
      <w:tblPr>
        <w:tblStyle w:val="29"/>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42"/>
        <w:gridCol w:w="709"/>
        <w:gridCol w:w="1839"/>
        <w:gridCol w:w="4540"/>
      </w:tblGrid>
      <w:tr w14:paraId="3CA3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blHeader/>
          <w:jc w:val="center"/>
        </w:trPr>
        <w:tc>
          <w:tcPr>
            <w:tcW w:w="1242" w:type="dxa"/>
            <w:shd w:val="clear" w:color="auto" w:fill="auto"/>
            <w:vAlign w:val="center"/>
          </w:tcPr>
          <w:p w14:paraId="53E7510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单位性质</w:t>
            </w:r>
          </w:p>
        </w:tc>
        <w:tc>
          <w:tcPr>
            <w:tcW w:w="709" w:type="dxa"/>
            <w:shd w:val="clear" w:color="auto" w:fill="auto"/>
            <w:vAlign w:val="center"/>
          </w:tcPr>
          <w:p w14:paraId="4577705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839" w:type="dxa"/>
            <w:shd w:val="clear" w:color="auto" w:fill="auto"/>
            <w:vAlign w:val="center"/>
          </w:tcPr>
          <w:p w14:paraId="4D68410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机构/单位</w:t>
            </w:r>
          </w:p>
        </w:tc>
        <w:tc>
          <w:tcPr>
            <w:tcW w:w="4540" w:type="dxa"/>
            <w:shd w:val="clear" w:color="auto" w:fill="auto"/>
            <w:vAlign w:val="center"/>
          </w:tcPr>
          <w:p w14:paraId="4DF0CB6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职责</w:t>
            </w:r>
          </w:p>
        </w:tc>
      </w:tr>
      <w:tr w14:paraId="5366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shd w:val="clear" w:color="auto" w:fill="auto"/>
            <w:vAlign w:val="center"/>
          </w:tcPr>
          <w:p w14:paraId="13DEA6F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组织、实施单位</w:t>
            </w:r>
          </w:p>
        </w:tc>
        <w:tc>
          <w:tcPr>
            <w:tcW w:w="709" w:type="dxa"/>
            <w:shd w:val="clear" w:color="auto" w:fill="auto"/>
            <w:vAlign w:val="center"/>
          </w:tcPr>
          <w:p w14:paraId="1A2AA34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839" w:type="dxa"/>
            <w:shd w:val="clear" w:color="auto" w:fill="auto"/>
            <w:vAlign w:val="center"/>
          </w:tcPr>
          <w:p w14:paraId="204AD701">
            <w:pPr>
              <w:pStyle w:val="4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组织方：</w:t>
            </w:r>
            <w:r>
              <w:rPr>
                <w:rFonts w:hint="default" w:ascii="Times New Roman" w:hAnsi="Times New Roman" w:cs="Times New Roman"/>
                <w:color w:val="auto"/>
                <w:highlight w:val="none"/>
                <w:lang w:eastAsia="zh-CN"/>
              </w:rPr>
              <w:t>常熟三爱富氟化工有限责任公司</w:t>
            </w:r>
          </w:p>
        </w:tc>
        <w:tc>
          <w:tcPr>
            <w:tcW w:w="4540" w:type="dxa"/>
            <w:shd w:val="clear" w:color="auto" w:fill="auto"/>
            <w:vAlign w:val="center"/>
          </w:tcPr>
          <w:p w14:paraId="5540F91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组织编制环境管理计划，</w:t>
            </w:r>
            <w:r>
              <w:rPr>
                <w:rFonts w:hint="default" w:ascii="Times New Roman" w:hAnsi="Times New Roman" w:cs="Times New Roman"/>
                <w:color w:val="auto"/>
                <w:highlight w:val="none"/>
                <w:lang w:val="en-US" w:eastAsia="zh-CN"/>
              </w:rPr>
              <w:t>负责在设备打开前的物料转移、置换和清洗工作，</w:t>
            </w:r>
            <w:r>
              <w:rPr>
                <w:rFonts w:hint="default" w:ascii="Times New Roman" w:hAnsi="Times New Roman" w:cs="Times New Roman"/>
                <w:color w:val="auto"/>
                <w:highlight w:val="none"/>
              </w:rPr>
              <w:t>并管理承包商进行设备拆除工作时的环境行为，满足环境要去并组织监督验收等。</w:t>
            </w:r>
          </w:p>
        </w:tc>
      </w:tr>
      <w:tr w14:paraId="3564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14:paraId="4434C3BC">
            <w:pPr>
              <w:pStyle w:val="45"/>
              <w:bidi w:val="0"/>
              <w:rPr>
                <w:rFonts w:hint="default" w:ascii="Times New Roman" w:hAnsi="Times New Roman" w:cs="Times New Roman"/>
                <w:color w:val="auto"/>
                <w:highlight w:val="none"/>
              </w:rPr>
            </w:pPr>
          </w:p>
        </w:tc>
        <w:tc>
          <w:tcPr>
            <w:tcW w:w="709" w:type="dxa"/>
            <w:shd w:val="clear" w:color="auto" w:fill="auto"/>
            <w:vAlign w:val="center"/>
          </w:tcPr>
          <w:p w14:paraId="46A2ADB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839" w:type="dxa"/>
            <w:shd w:val="clear" w:color="auto" w:fill="auto"/>
            <w:vAlign w:val="center"/>
          </w:tcPr>
          <w:p w14:paraId="4CEFA5F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承包商</w:t>
            </w:r>
          </w:p>
        </w:tc>
        <w:tc>
          <w:tcPr>
            <w:tcW w:w="4540" w:type="dxa"/>
            <w:shd w:val="clear" w:color="auto" w:fill="auto"/>
            <w:vAlign w:val="center"/>
          </w:tcPr>
          <w:p w14:paraId="35712A8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项目业主聘用的承包商根据本计划负责项目的拆除和运输。</w:t>
            </w:r>
          </w:p>
        </w:tc>
      </w:tr>
      <w:tr w14:paraId="19BB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shd w:val="clear" w:color="auto" w:fill="auto"/>
            <w:vAlign w:val="center"/>
          </w:tcPr>
          <w:p w14:paraId="0B08B2A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监督单位</w:t>
            </w:r>
          </w:p>
        </w:tc>
        <w:tc>
          <w:tcPr>
            <w:tcW w:w="709" w:type="dxa"/>
            <w:shd w:val="clear" w:color="auto" w:fill="auto"/>
            <w:vAlign w:val="center"/>
          </w:tcPr>
          <w:p w14:paraId="568AF98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839" w:type="dxa"/>
            <w:shd w:val="clear" w:color="auto" w:fill="auto"/>
            <w:vAlign w:val="center"/>
          </w:tcPr>
          <w:p w14:paraId="1CF59AE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生态环境部对外合作与交流中心</w:t>
            </w:r>
            <w:r>
              <w:rPr>
                <w:rFonts w:hint="default" w:ascii="Times New Roman" w:hAnsi="Times New Roman" w:cs="Times New Roman"/>
                <w:color w:val="auto"/>
                <w:highlight w:val="none"/>
              </w:rPr>
              <w:t>及世界银行专家</w:t>
            </w:r>
          </w:p>
        </w:tc>
        <w:tc>
          <w:tcPr>
            <w:tcW w:w="4540" w:type="dxa"/>
            <w:shd w:val="clear" w:color="auto" w:fill="auto"/>
            <w:vAlign w:val="center"/>
          </w:tcPr>
          <w:p w14:paraId="608F998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环境管理计划的审查批准并监督实施。</w:t>
            </w:r>
          </w:p>
        </w:tc>
      </w:tr>
      <w:tr w14:paraId="4269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14:paraId="3449627E">
            <w:pPr>
              <w:pStyle w:val="45"/>
              <w:bidi w:val="0"/>
              <w:rPr>
                <w:rFonts w:hint="default" w:ascii="Times New Roman" w:hAnsi="Times New Roman" w:cs="Times New Roman"/>
                <w:color w:val="auto"/>
                <w:highlight w:val="none"/>
              </w:rPr>
            </w:pPr>
          </w:p>
        </w:tc>
        <w:tc>
          <w:tcPr>
            <w:tcW w:w="709" w:type="dxa"/>
            <w:shd w:val="clear" w:color="auto" w:fill="auto"/>
            <w:vAlign w:val="center"/>
          </w:tcPr>
          <w:p w14:paraId="6426874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839" w:type="dxa"/>
            <w:shd w:val="clear" w:color="auto" w:fill="auto"/>
            <w:vAlign w:val="center"/>
          </w:tcPr>
          <w:p w14:paraId="0C9C07A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环境质量监测顾问</w:t>
            </w:r>
          </w:p>
        </w:tc>
        <w:tc>
          <w:tcPr>
            <w:tcW w:w="4540" w:type="dxa"/>
            <w:shd w:val="clear" w:color="auto" w:fill="auto"/>
            <w:vAlign w:val="center"/>
          </w:tcPr>
          <w:p w14:paraId="0151EE5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监测顾问负责环境监理职责，将根据本次计划中所含的环境监测计划监督或开展环境质量监测，项目实施阶段环境质量监测由实施方组织监测，项目结束后对土壤、地下水的监测调查将另聘请相关资质的环境咨询机构。</w:t>
            </w:r>
          </w:p>
        </w:tc>
      </w:tr>
      <w:tr w14:paraId="0983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14:paraId="3C581FAA">
            <w:pPr>
              <w:pStyle w:val="45"/>
              <w:bidi w:val="0"/>
              <w:rPr>
                <w:rFonts w:hint="default" w:ascii="Times New Roman" w:hAnsi="Times New Roman" w:cs="Times New Roman"/>
                <w:color w:val="auto"/>
                <w:highlight w:val="none"/>
              </w:rPr>
            </w:pPr>
          </w:p>
        </w:tc>
        <w:tc>
          <w:tcPr>
            <w:tcW w:w="709" w:type="dxa"/>
            <w:shd w:val="clear" w:color="auto" w:fill="auto"/>
            <w:vAlign w:val="center"/>
          </w:tcPr>
          <w:p w14:paraId="22148E2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839" w:type="dxa"/>
            <w:shd w:val="clear" w:color="auto" w:fill="auto"/>
            <w:vAlign w:val="center"/>
          </w:tcPr>
          <w:p w14:paraId="2AFB0AAC">
            <w:pPr>
              <w:pStyle w:val="45"/>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常熟新材料产业园环境保护部</w:t>
            </w:r>
          </w:p>
        </w:tc>
        <w:tc>
          <w:tcPr>
            <w:tcW w:w="4540" w:type="dxa"/>
            <w:shd w:val="clear" w:color="auto" w:fill="auto"/>
            <w:vAlign w:val="center"/>
          </w:tcPr>
          <w:p w14:paraId="004F435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负责项目实施期间各项法律、法规、技术指南和环境质量标准执行的监督。</w:t>
            </w:r>
          </w:p>
        </w:tc>
      </w:tr>
      <w:tr w14:paraId="6A4C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14:paraId="5DC22BCD">
            <w:pPr>
              <w:pStyle w:val="45"/>
              <w:bidi w:val="0"/>
              <w:rPr>
                <w:rFonts w:hint="default" w:ascii="Times New Roman" w:hAnsi="Times New Roman" w:cs="Times New Roman"/>
                <w:color w:val="auto"/>
                <w:highlight w:val="none"/>
              </w:rPr>
            </w:pPr>
          </w:p>
        </w:tc>
        <w:tc>
          <w:tcPr>
            <w:tcW w:w="709" w:type="dxa"/>
            <w:shd w:val="clear" w:color="auto" w:fill="auto"/>
            <w:vAlign w:val="center"/>
          </w:tcPr>
          <w:p w14:paraId="736682D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839" w:type="dxa"/>
            <w:shd w:val="clear" w:color="auto" w:fill="auto"/>
            <w:vAlign w:val="center"/>
          </w:tcPr>
          <w:p w14:paraId="511F6951">
            <w:pPr>
              <w:pStyle w:val="45"/>
              <w:ind w:firstLine="0" w:firstLineChars="0"/>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江苏常熟新材料产业园安全生产监督管理部</w:t>
            </w:r>
          </w:p>
        </w:tc>
        <w:tc>
          <w:tcPr>
            <w:tcW w:w="4540" w:type="dxa"/>
            <w:shd w:val="clear" w:color="auto" w:fill="auto"/>
            <w:vAlign w:val="center"/>
          </w:tcPr>
          <w:p w14:paraId="7E2032F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负责项目实施期间安全监督管理的执行。</w:t>
            </w:r>
          </w:p>
        </w:tc>
      </w:tr>
      <w:tr w14:paraId="6218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14:paraId="40F93B90">
            <w:pPr>
              <w:pStyle w:val="45"/>
              <w:bidi w:val="0"/>
              <w:rPr>
                <w:rFonts w:hint="default" w:ascii="Times New Roman" w:hAnsi="Times New Roman" w:cs="Times New Roman"/>
                <w:color w:val="auto"/>
                <w:highlight w:val="none"/>
              </w:rPr>
            </w:pPr>
          </w:p>
        </w:tc>
        <w:tc>
          <w:tcPr>
            <w:tcW w:w="709" w:type="dxa"/>
            <w:shd w:val="clear" w:color="auto" w:fill="auto"/>
            <w:vAlign w:val="center"/>
          </w:tcPr>
          <w:p w14:paraId="716FE76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839" w:type="dxa"/>
            <w:shd w:val="clear" w:color="auto" w:fill="auto"/>
            <w:vAlign w:val="center"/>
          </w:tcPr>
          <w:p w14:paraId="7B51FBC6">
            <w:pPr>
              <w:pStyle w:val="45"/>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常熟市海虞镇人民政府</w:t>
            </w:r>
          </w:p>
        </w:tc>
        <w:tc>
          <w:tcPr>
            <w:tcW w:w="4540" w:type="dxa"/>
            <w:shd w:val="clear" w:color="auto" w:fill="auto"/>
            <w:vAlign w:val="center"/>
          </w:tcPr>
          <w:p w14:paraId="519A5D9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负责项目实施期间的监督</w:t>
            </w:r>
          </w:p>
        </w:tc>
      </w:tr>
    </w:tbl>
    <w:p w14:paraId="4B1C5D02">
      <w:pPr>
        <w:pStyle w:val="3"/>
        <w:bidi w:val="0"/>
        <w:rPr>
          <w:rFonts w:hint="default" w:ascii="Times New Roman" w:hAnsi="Times New Roman" w:cs="Times New Roman"/>
          <w:color w:val="auto"/>
          <w:highlight w:val="none"/>
        </w:rPr>
      </w:pPr>
      <w:bookmarkStart w:id="92" w:name="_Toc406099819"/>
      <w:bookmarkStart w:id="93" w:name="_Toc21757"/>
      <w:bookmarkStart w:id="94" w:name="_Toc406099695"/>
      <w:bookmarkStart w:id="95" w:name="_Toc406099543"/>
      <w:r>
        <w:rPr>
          <w:rFonts w:hint="default" w:ascii="Times New Roman" w:hAnsi="Times New Roman" w:cs="Times New Roman"/>
          <w:color w:val="auto"/>
          <w:highlight w:val="none"/>
          <w:lang w:val="en-US" w:eastAsia="zh-CN"/>
        </w:rPr>
        <w:t xml:space="preserve">3.2 </w:t>
      </w:r>
      <w:r>
        <w:rPr>
          <w:rFonts w:hint="default" w:ascii="Times New Roman" w:hAnsi="Times New Roman" w:cs="Times New Roman"/>
          <w:color w:val="auto"/>
          <w:highlight w:val="none"/>
        </w:rPr>
        <w:t>各机构环境具体管理职责</w:t>
      </w:r>
      <w:bookmarkEnd w:id="92"/>
      <w:bookmarkEnd w:id="93"/>
      <w:bookmarkEnd w:id="94"/>
      <w:bookmarkEnd w:id="95"/>
    </w:p>
    <w:p w14:paraId="6772BDAB">
      <w:pPr>
        <w:bidi w:val="0"/>
        <w:rPr>
          <w:rFonts w:hint="default" w:ascii="Times New Roman" w:hAnsi="Times New Roman" w:cs="Times New Roman"/>
          <w:b/>
          <w:bCs/>
          <w:color w:val="auto"/>
          <w:highlight w:val="none"/>
        </w:rPr>
      </w:pPr>
      <w:bookmarkStart w:id="96" w:name="_Toc406099696"/>
      <w:bookmarkStart w:id="97" w:name="_Toc406099820"/>
      <w:bookmarkStart w:id="98" w:name="_Toc406099544"/>
      <w:r>
        <w:rPr>
          <w:rFonts w:hint="default" w:ascii="Times New Roman" w:hAnsi="Times New Roman" w:cs="Times New Roman"/>
          <w:b/>
          <w:bCs/>
          <w:color w:val="auto"/>
          <w:highlight w:val="none"/>
        </w:rPr>
        <w:t>组织、实施单位</w:t>
      </w:r>
      <w:bookmarkEnd w:id="96"/>
      <w:bookmarkEnd w:id="97"/>
      <w:bookmarkEnd w:id="98"/>
    </w:p>
    <w:p w14:paraId="63570579">
      <w:pPr>
        <w:ind w:firstLineChars="0"/>
        <w:rPr>
          <w:rFonts w:hint="default" w:ascii="Times New Roman" w:hAnsi="Times New Roman" w:eastAsia="宋体" w:cs="Times New Roman"/>
          <w:b/>
          <w:color w:val="auto"/>
          <w:highlight w:val="none"/>
          <w:u w:val="none"/>
          <w:lang w:eastAsia="zh-CN"/>
        </w:rPr>
      </w:pPr>
      <w:r>
        <w:rPr>
          <w:rFonts w:hint="default" w:ascii="Times New Roman" w:hAnsi="Times New Roman" w:cs="Times New Roman"/>
          <w:b/>
          <w:color w:val="auto"/>
          <w:highlight w:val="none"/>
          <w:u w:val="none"/>
          <w:lang w:val="en-US" w:eastAsia="zh-CN"/>
        </w:rPr>
        <w:t>一、</w:t>
      </w:r>
      <w:r>
        <w:rPr>
          <w:rFonts w:hint="default" w:ascii="Times New Roman" w:hAnsi="Times New Roman" w:cs="Times New Roman"/>
          <w:b/>
          <w:color w:val="auto"/>
          <w:highlight w:val="none"/>
          <w:u w:val="none"/>
        </w:rPr>
        <w:t>组织单位：</w:t>
      </w:r>
      <w:r>
        <w:rPr>
          <w:rFonts w:hint="default" w:ascii="Times New Roman" w:hAnsi="Times New Roman" w:cs="Times New Roman"/>
          <w:b/>
          <w:color w:val="auto"/>
          <w:highlight w:val="none"/>
          <w:u w:val="none"/>
          <w:lang w:eastAsia="zh-CN"/>
        </w:rPr>
        <w:t>常熟三爱富氟化工</w:t>
      </w:r>
    </w:p>
    <w:p w14:paraId="7B015807">
      <w:pP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是本项目的业主和实施机构，负责确保项目环境管理符合环境管理计划和相关法规的要求。</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的环境管理职责应包括：</w:t>
      </w:r>
    </w:p>
    <w:p w14:paraId="498F339E">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负责在设备打开前的物料转移、置换和清洗工作。</w:t>
      </w:r>
    </w:p>
    <w:p w14:paraId="1966E31A">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组织承包商进行培训，在项目实施期间监督各项缓解措施和环保措施的实施情况，并定期对现场进行检查。</w:t>
      </w:r>
    </w:p>
    <w:p w14:paraId="4767939E">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在资格预审过程中，对承包商的资格进行审查时，鉴定条款中应包括环境管理。在相同条件下，应优先选择通过ISO9000、ISO14000、OHSAS18000认证及三年内有类似化工设施拆除经验并无环保安全事故的投标人。</w:t>
      </w:r>
    </w:p>
    <w:p w14:paraId="79A2303A">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在招标文件的编制过程中，项目业主应确保将本环境管理计划中的主要缓解措施写入相关条款中，并要求潜在投标人的标书充分涵盖实施本环境管理计划的预算，将执行环保措施作为中标人的义务和责任。</w:t>
      </w:r>
    </w:p>
    <w:p w14:paraId="028D09E7">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审查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及危险废物处置单位的相关资质，并监督处置的实施情况。</w:t>
      </w:r>
    </w:p>
    <w:p w14:paraId="3B5D8A59">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聘请有监测能力的顾问按照项目环境监测计划监督或开展环境监测。</w:t>
      </w:r>
    </w:p>
    <w:p w14:paraId="0CA24893">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协助相关环境咨询单位定期实地考察及各类报告的编写。</w:t>
      </w:r>
    </w:p>
    <w:p w14:paraId="33CE5F09">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在项目执行期间，项目企业需向项目管理机构（即</w:t>
      </w:r>
      <w:r>
        <w:rPr>
          <w:rFonts w:hint="default" w:ascii="Times New Roman" w:hAnsi="Times New Roman" w:cs="Times New Roman"/>
          <w:color w:val="auto"/>
          <w:highlight w:val="none"/>
          <w:lang w:eastAsia="zh-CN"/>
        </w:rPr>
        <w:t>生态环境部对外合作与交流中心</w:t>
      </w:r>
      <w:r>
        <w:rPr>
          <w:rFonts w:hint="default" w:ascii="Times New Roman" w:hAnsi="Times New Roman" w:cs="Times New Roman"/>
          <w:color w:val="auto"/>
          <w:highlight w:val="none"/>
        </w:rPr>
        <w:t>）定期报告环境管理计划的实施情况。项目企业提交的进展报告应包括环境管理计划的实施情况（如减缓措施、监测、培训活动），是否存在重大的环境问题、投诉、以及相关环境问题的解决方法。</w:t>
      </w:r>
    </w:p>
    <w:p w14:paraId="7DA499D1">
      <w:pPr>
        <w:ind w:firstLine="420" w:firstLineChars="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此外，</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还应指派1~2名专门的环境经理负责环境管理计划实施的整体协调工作。该环境经理必须熟悉环境管理和环境法规，能够理解和实施环境管理计划，其职责包括：</w:t>
      </w:r>
    </w:p>
    <w:p w14:paraId="4B252DD0">
      <w:pPr>
        <w:keepNext w:val="0"/>
        <w:keepLines w:val="0"/>
        <w:pageBreakBefore w:val="0"/>
        <w:widowControl w:val="0"/>
        <w:numPr>
          <w:ilvl w:val="0"/>
          <w:numId w:val="1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确保项目的环境管理符合本环境管理计划和相关法规的要求。如果发现不符合情况，应采取适当的措施；</w:t>
      </w:r>
    </w:p>
    <w:p w14:paraId="3FE9F044">
      <w:pPr>
        <w:keepNext w:val="0"/>
        <w:keepLines w:val="0"/>
        <w:pageBreakBefore w:val="0"/>
        <w:widowControl w:val="0"/>
        <w:numPr>
          <w:ilvl w:val="0"/>
          <w:numId w:val="1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与承包商在环境问题上保持开放而顺畅的沟通；</w:t>
      </w:r>
    </w:p>
    <w:p w14:paraId="2A1ACE8D">
      <w:pPr>
        <w:keepNext w:val="0"/>
        <w:keepLines w:val="0"/>
        <w:pageBreakBefore w:val="0"/>
        <w:widowControl w:val="0"/>
        <w:numPr>
          <w:ilvl w:val="0"/>
          <w:numId w:val="1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审查并批准承包商的拆除方案。该方案包含可能造成环境影响的关键项目活动的环境保护措施，并督促其到当地环保部门备案；</w:t>
      </w:r>
    </w:p>
    <w:p w14:paraId="5F831CE3">
      <w:pPr>
        <w:keepNext w:val="0"/>
        <w:keepLines w:val="0"/>
        <w:pageBreakBefore w:val="0"/>
        <w:widowControl w:val="0"/>
        <w:numPr>
          <w:ilvl w:val="0"/>
          <w:numId w:val="1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按照本环境管理计划的要求，定期对所有项目实施区进行实地检查；</w:t>
      </w:r>
    </w:p>
    <w:p w14:paraId="5A905252">
      <w:pPr>
        <w:keepNext w:val="0"/>
        <w:keepLines w:val="0"/>
        <w:pageBreakBefore w:val="0"/>
        <w:widowControl w:val="0"/>
        <w:numPr>
          <w:ilvl w:val="0"/>
          <w:numId w:val="1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审查并存档承包商有关环境管理的各类文件。</w:t>
      </w:r>
    </w:p>
    <w:p w14:paraId="795EF26B">
      <w:pPr>
        <w:ind w:left="480" w:firstLine="0" w:firstLineChars="0"/>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lang w:val="en-US" w:eastAsia="zh-CN"/>
        </w:rPr>
        <w:t>二、</w:t>
      </w:r>
      <w:r>
        <w:rPr>
          <w:rFonts w:hint="default" w:ascii="Times New Roman" w:hAnsi="Times New Roman" w:cs="Times New Roman"/>
          <w:b/>
          <w:color w:val="auto"/>
          <w:highlight w:val="none"/>
          <w:u w:val="none"/>
        </w:rPr>
        <w:t>承包商</w:t>
      </w:r>
    </w:p>
    <w:p w14:paraId="4185DE0C">
      <w:pPr>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在项目实施期间，承包商及其雇员首先应尽力避免项目的实施活动造成任何负面影响，并且需持有本《环境管理计划》，遵循计划及合同规定的缓解措施，从而将其对环境和当地社区的损害和影响降至最低程度。</w:t>
      </w:r>
    </w:p>
    <w:p w14:paraId="4086052F">
      <w:pPr>
        <w:rPr>
          <w:rFonts w:hint="default" w:ascii="Times New Roman" w:hAnsi="Times New Roman" w:cs="Times New Roman"/>
          <w:color w:val="auto"/>
          <w:highlight w:val="none"/>
        </w:rPr>
      </w:pPr>
      <w:r>
        <w:rPr>
          <w:rFonts w:hint="default" w:ascii="Times New Roman" w:hAnsi="Times New Roman" w:cs="Times New Roman"/>
          <w:color w:val="auto"/>
          <w:highlight w:val="none"/>
        </w:rPr>
        <w:t>其次，承包商自身应建立一个环境管理体系，以满足预案机制、现场措施、监测、培训和报告方面的要求。项目承包商是环境管理、污染控制以及影响缓解过程中的一个关键组成部分。在实施过程中，承包商指定一名项目经理应常驻项目实施现场，主要负责有效地控制和降低对环境的影响。大部分环保措施都应由承包商实施，应包括：</w:t>
      </w:r>
    </w:p>
    <w:p w14:paraId="6FF64455">
      <w:pPr>
        <w:keepNext w:val="0"/>
        <w:keepLines w:val="0"/>
        <w:pageBreakBefore w:val="0"/>
        <w:widowControl w:val="0"/>
        <w:numPr>
          <w:ilvl w:val="0"/>
          <w:numId w:val="1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在项目实施之前，针对存在潜在环境影响的关键项目活动，承包商需要提交包含详尽的环境管理措施的施工计划。该计划应符合国内环境法规、导则等，以及本环境管理计划的要求。</w:t>
      </w:r>
    </w:p>
    <w:p w14:paraId="2CDB7C67">
      <w:pPr>
        <w:keepNext w:val="0"/>
        <w:keepLines w:val="0"/>
        <w:pageBreakBefore w:val="0"/>
        <w:widowControl w:val="0"/>
        <w:numPr>
          <w:ilvl w:val="0"/>
          <w:numId w:val="1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在开工以前，承包商应接受本环境管理计划和相关规章制度的充分培训，承包商项目经理和一位环境工程师必须参加培训。</w:t>
      </w:r>
    </w:p>
    <w:p w14:paraId="1E14EA4E">
      <w:pPr>
        <w:bidi w:val="0"/>
        <w:rPr>
          <w:rFonts w:hint="default" w:ascii="Times New Roman" w:hAnsi="Times New Roman" w:cs="Times New Roman"/>
          <w:b/>
          <w:bCs/>
          <w:color w:val="auto"/>
          <w:highlight w:val="none"/>
        </w:rPr>
      </w:pPr>
      <w:bookmarkStart w:id="99" w:name="_Toc406099545"/>
      <w:bookmarkStart w:id="100" w:name="_Toc406099821"/>
      <w:bookmarkStart w:id="101" w:name="_Toc406099697"/>
      <w:r>
        <w:rPr>
          <w:rFonts w:hint="default" w:ascii="Times New Roman" w:hAnsi="Times New Roman" w:cs="Times New Roman"/>
          <w:b/>
          <w:bCs/>
          <w:color w:val="auto"/>
          <w:highlight w:val="none"/>
          <w:lang w:val="en-US" w:eastAsia="zh-CN"/>
        </w:rPr>
        <w:t>三、</w:t>
      </w:r>
      <w:r>
        <w:rPr>
          <w:rFonts w:hint="default" w:ascii="Times New Roman" w:hAnsi="Times New Roman" w:cs="Times New Roman"/>
          <w:b/>
          <w:bCs/>
          <w:color w:val="auto"/>
          <w:highlight w:val="none"/>
        </w:rPr>
        <w:t>监督单位</w:t>
      </w:r>
      <w:bookmarkEnd w:id="99"/>
      <w:bookmarkEnd w:id="100"/>
      <w:bookmarkEnd w:id="101"/>
    </w:p>
    <w:p w14:paraId="7FA497AF">
      <w:pPr>
        <w:ind w:firstLineChars="0"/>
        <w:rPr>
          <w:rFonts w:hint="default" w:ascii="Times New Roman" w:hAnsi="Times New Roman" w:cs="Times New Roman"/>
          <w:b/>
          <w:color w:val="auto"/>
          <w:kern w:val="0"/>
          <w:highlight w:val="none"/>
          <w:u w:val="none"/>
        </w:rPr>
      </w:pPr>
      <w:r>
        <w:rPr>
          <w:rFonts w:hint="default" w:ascii="Times New Roman" w:hAnsi="Times New Roman" w:cs="Times New Roman"/>
          <w:b/>
          <w:color w:val="auto"/>
          <w:kern w:val="0"/>
          <w:highlight w:val="none"/>
          <w:u w:val="none"/>
          <w:lang w:val="en-US" w:eastAsia="zh-CN"/>
        </w:rPr>
        <w:t>1、</w:t>
      </w:r>
      <w:r>
        <w:rPr>
          <w:rFonts w:hint="default" w:ascii="Times New Roman" w:hAnsi="Times New Roman" w:cs="Times New Roman"/>
          <w:b/>
          <w:color w:val="auto"/>
          <w:kern w:val="0"/>
          <w:highlight w:val="none"/>
          <w:u w:val="none"/>
          <w:lang w:eastAsia="zh-CN"/>
        </w:rPr>
        <w:t>生态环境部对外合作与交流中心</w:t>
      </w:r>
      <w:r>
        <w:rPr>
          <w:rFonts w:hint="default" w:ascii="Times New Roman" w:hAnsi="Times New Roman" w:cs="Times New Roman"/>
          <w:b/>
          <w:color w:val="auto"/>
          <w:kern w:val="0"/>
          <w:highlight w:val="none"/>
          <w:u w:val="none"/>
        </w:rPr>
        <w:t>及世界银行专家</w:t>
      </w:r>
    </w:p>
    <w:p w14:paraId="60095F2D">
      <w:pPr>
        <w:rPr>
          <w:rFonts w:hint="default" w:ascii="Times New Roman" w:hAnsi="Times New Roman" w:cs="Times New Roman"/>
          <w:color w:val="auto"/>
          <w:highlight w:val="none"/>
          <w:u w:val="none"/>
        </w:rPr>
      </w:pPr>
      <w:r>
        <w:rPr>
          <w:rFonts w:hint="default" w:ascii="Times New Roman" w:hAnsi="Times New Roman" w:cs="Times New Roman"/>
          <w:color w:val="auto"/>
          <w:highlight w:val="none"/>
          <w:lang w:eastAsia="zh-CN"/>
        </w:rPr>
        <w:t>生态环境部对外合作与交流中心</w:t>
      </w:r>
      <w:r>
        <w:rPr>
          <w:rFonts w:hint="default" w:ascii="Times New Roman" w:hAnsi="Times New Roman" w:cs="Times New Roman"/>
          <w:color w:val="auto"/>
          <w:highlight w:val="none"/>
        </w:rPr>
        <w:t>的职责包括：审查批准项目业主编制的《环境管理计划》并返回意见，并对业主和承包商关键项目实施活动监察监督，发现不一致</w:t>
      </w:r>
      <w:r>
        <w:rPr>
          <w:rFonts w:hint="default" w:ascii="Times New Roman" w:hAnsi="Times New Roman" w:cs="Times New Roman"/>
          <w:color w:val="auto"/>
          <w:highlight w:val="none"/>
          <w:u w:val="none"/>
        </w:rPr>
        <w:t>情况下及时对业主提出纠正要求。</w:t>
      </w:r>
    </w:p>
    <w:p w14:paraId="6263C8F4">
      <w:pPr>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lang w:val="en-US" w:eastAsia="zh-CN"/>
        </w:rPr>
        <w:t>2、</w:t>
      </w:r>
      <w:r>
        <w:rPr>
          <w:rFonts w:hint="default" w:ascii="Times New Roman" w:hAnsi="Times New Roman" w:cs="Times New Roman"/>
          <w:b/>
          <w:color w:val="auto"/>
          <w:highlight w:val="none"/>
          <w:u w:val="none"/>
        </w:rPr>
        <w:t>环境质量监测顾问（EQMC）</w:t>
      </w:r>
    </w:p>
    <w:p w14:paraId="7187A76E">
      <w:pPr>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项目实施期间环境质量监测顾问由业主方聘请有相应能力的单位担任，环境质量监测顾问的职责包括：</w:t>
      </w:r>
    </w:p>
    <w:p w14:paraId="01FF642A">
      <w:pPr>
        <w:keepNext w:val="0"/>
        <w:keepLines w:val="0"/>
        <w:pageBreakBefore w:val="0"/>
        <w:widowControl w:val="0"/>
        <w:numPr>
          <w:ilvl w:val="0"/>
          <w:numId w:val="1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负责环境监理的职责。</w:t>
      </w:r>
    </w:p>
    <w:p w14:paraId="53F6FC96">
      <w:pPr>
        <w:keepNext w:val="0"/>
        <w:keepLines w:val="0"/>
        <w:pageBreakBefore w:val="0"/>
        <w:widowControl w:val="0"/>
        <w:numPr>
          <w:ilvl w:val="0"/>
          <w:numId w:val="1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熟悉项目工程以及《环境管理计划》，特别是环境监测计划。</w:t>
      </w:r>
    </w:p>
    <w:p w14:paraId="50951EFE">
      <w:pPr>
        <w:keepNext w:val="0"/>
        <w:keepLines w:val="0"/>
        <w:pageBreakBefore w:val="0"/>
        <w:widowControl w:val="0"/>
        <w:numPr>
          <w:ilvl w:val="0"/>
          <w:numId w:val="1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按照环境监测计划，以高效、专业的方式监督或开展环境监测。</w:t>
      </w:r>
    </w:p>
    <w:p w14:paraId="60BCDD03">
      <w:pPr>
        <w:keepNext w:val="0"/>
        <w:keepLines w:val="0"/>
        <w:pageBreakBefore w:val="0"/>
        <w:widowControl w:val="0"/>
        <w:numPr>
          <w:ilvl w:val="0"/>
          <w:numId w:val="1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具体监督责任包括监测结果的准则、监测设备、监测地点、监测程序等。</w:t>
      </w:r>
    </w:p>
    <w:p w14:paraId="3BB4F667">
      <w:pPr>
        <w:keepNext w:val="0"/>
        <w:keepLines w:val="0"/>
        <w:pageBreakBefore w:val="0"/>
        <w:widowControl w:val="0"/>
        <w:numPr>
          <w:ilvl w:val="0"/>
          <w:numId w:val="1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向项目业主及时反馈监测建议。</w:t>
      </w:r>
    </w:p>
    <w:p w14:paraId="6165BDC0">
      <w:pPr>
        <w:rPr>
          <w:rFonts w:hint="default" w:ascii="Times New Roman" w:hAnsi="Times New Roman" w:cs="Times New Roman"/>
          <w:b/>
          <w:bCs w:val="0"/>
          <w:color w:val="auto"/>
          <w:kern w:val="0"/>
          <w:highlight w:val="none"/>
          <w:u w:val="none"/>
          <w:lang w:val="en-US" w:eastAsia="zh-CN"/>
        </w:rPr>
      </w:pPr>
      <w:r>
        <w:rPr>
          <w:rFonts w:hint="default" w:ascii="Times New Roman" w:hAnsi="Times New Roman" w:cs="Times New Roman"/>
          <w:b/>
          <w:bCs w:val="0"/>
          <w:color w:val="auto"/>
          <w:kern w:val="0"/>
          <w:highlight w:val="none"/>
          <w:u w:val="none"/>
          <w:lang w:val="en-US" w:eastAsia="zh-CN"/>
        </w:rPr>
        <w:t>3、江苏常熟新材料产业园环境保护部</w:t>
      </w:r>
    </w:p>
    <w:p w14:paraId="7FC172B8">
      <w:pPr>
        <w:ind w:firstLineChars="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项目实施期间，</w:t>
      </w:r>
      <w:r>
        <w:rPr>
          <w:rFonts w:hint="default" w:ascii="Times New Roman" w:hAnsi="Times New Roman" w:cs="Times New Roman"/>
          <w:color w:val="auto"/>
          <w:highlight w:val="none"/>
          <w:lang w:eastAsia="zh-CN"/>
        </w:rPr>
        <w:t>江苏常熟新材料产业园环境保护部</w:t>
      </w:r>
      <w:r>
        <w:rPr>
          <w:rFonts w:hint="default" w:ascii="Times New Roman" w:hAnsi="Times New Roman" w:cs="Times New Roman"/>
          <w:color w:val="auto"/>
          <w:kern w:val="0"/>
          <w:highlight w:val="none"/>
        </w:rPr>
        <w:t>应负责HCFC-141b生产线关闭及拆除过程中项目业主根据各项法律、法规、技术指南和环境质量标准执行情况的监督。</w:t>
      </w:r>
    </w:p>
    <w:p w14:paraId="6CA9689C">
      <w:pPr>
        <w:rPr>
          <w:rFonts w:hint="default" w:ascii="Times New Roman" w:hAnsi="Times New Roman" w:eastAsia="宋体" w:cs="Times New Roman"/>
          <w:b/>
          <w:bCs w:val="0"/>
          <w:color w:val="auto"/>
          <w:kern w:val="0"/>
          <w:highlight w:val="none"/>
          <w:u w:val="none"/>
          <w:lang w:eastAsia="zh-CN"/>
        </w:rPr>
      </w:pPr>
      <w:r>
        <w:rPr>
          <w:rFonts w:hint="default" w:ascii="Times New Roman" w:hAnsi="Times New Roman" w:cs="Times New Roman"/>
          <w:b/>
          <w:bCs w:val="0"/>
          <w:color w:val="auto"/>
          <w:kern w:val="0"/>
          <w:highlight w:val="none"/>
          <w:u w:val="none"/>
          <w:lang w:val="en-US" w:eastAsia="zh-CN"/>
        </w:rPr>
        <w:t>4、</w:t>
      </w:r>
      <w:r>
        <w:rPr>
          <w:rFonts w:hint="eastAsia" w:cs="Times New Roman"/>
          <w:b/>
          <w:bCs w:val="0"/>
          <w:color w:val="auto"/>
          <w:highlight w:val="none"/>
          <w:u w:val="none"/>
          <w:lang w:eastAsia="zh-CN"/>
        </w:rPr>
        <w:t>江苏常熟新材料产业园安全生产监督管理部</w:t>
      </w:r>
    </w:p>
    <w:p w14:paraId="0598F49B">
      <w:pPr>
        <w:ind w:firstLineChars="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有效监督项目业主关于HCFC-141b生产线转移、拆除期间的安全管理问题、危险化学品的运输问题等。</w:t>
      </w:r>
    </w:p>
    <w:p w14:paraId="22F81474">
      <w:pPr>
        <w:pStyle w:val="2"/>
        <w:spacing w:before="326" w:after="326"/>
        <w:rPr>
          <w:rFonts w:hint="default" w:ascii="Times New Roman" w:hAnsi="Times New Roman" w:cs="Times New Roman"/>
          <w:color w:val="auto"/>
          <w:highlight w:val="none"/>
        </w:rPr>
        <w:sectPr>
          <w:pgSz w:w="11906" w:h="16838"/>
          <w:pgMar w:top="1440" w:right="1797" w:bottom="1440" w:left="1797" w:header="851" w:footer="992" w:gutter="0"/>
          <w:pgNumType w:fmt="decimal"/>
          <w:cols w:space="425" w:num="1"/>
          <w:docGrid w:type="lines" w:linePitch="312" w:charSpace="0"/>
        </w:sectPr>
      </w:pPr>
      <w:bookmarkStart w:id="102" w:name="_Toc406099822"/>
      <w:bookmarkStart w:id="103" w:name="_Toc406099698"/>
      <w:bookmarkStart w:id="104" w:name="_Toc406099546"/>
    </w:p>
    <w:p w14:paraId="328ADD12">
      <w:pPr>
        <w:pStyle w:val="2"/>
        <w:bidi w:val="0"/>
        <w:rPr>
          <w:rFonts w:hint="default" w:ascii="Times New Roman" w:hAnsi="Times New Roman" w:cs="Times New Roman"/>
          <w:color w:val="auto"/>
          <w:highlight w:val="none"/>
        </w:rPr>
      </w:pPr>
      <w:bookmarkStart w:id="105" w:name="_Toc13595"/>
      <w:r>
        <w:rPr>
          <w:rFonts w:hint="default" w:ascii="Times New Roman" w:hAnsi="Times New Roman" w:cs="Times New Roman"/>
          <w:color w:val="auto"/>
          <w:highlight w:val="none"/>
          <w:lang w:val="en-US" w:eastAsia="zh-CN"/>
        </w:rPr>
        <w:t xml:space="preserve">4 </w:t>
      </w:r>
      <w:r>
        <w:rPr>
          <w:rFonts w:hint="default" w:ascii="Times New Roman" w:hAnsi="Times New Roman" w:cs="Times New Roman"/>
          <w:color w:val="auto"/>
          <w:highlight w:val="none"/>
        </w:rPr>
        <w:t>环境影响减缓及管理措施</w:t>
      </w:r>
      <w:bookmarkEnd w:id="102"/>
      <w:bookmarkEnd w:id="103"/>
      <w:bookmarkEnd w:id="104"/>
      <w:bookmarkEnd w:id="105"/>
    </w:p>
    <w:p w14:paraId="0AF3691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HCFC-141b生产线淘汰过程中，HCFC-141b生产线拆除工程涉及到的环境影响环节分为停产、物料</w:t>
      </w:r>
      <w:r>
        <w:rPr>
          <w:rFonts w:hint="default" w:ascii="Times New Roman" w:hAnsi="Times New Roman" w:cs="Times New Roman"/>
          <w:color w:val="auto"/>
          <w:highlight w:val="none"/>
          <w:lang w:val="en-US" w:eastAsia="zh-CN"/>
        </w:rPr>
        <w:t>转移</w:t>
      </w:r>
      <w:r>
        <w:rPr>
          <w:rFonts w:hint="default" w:ascii="Times New Roman" w:hAnsi="Times New Roman" w:cs="Times New Roman"/>
          <w:color w:val="auto"/>
          <w:highlight w:val="none"/>
        </w:rPr>
        <w:t>阶段的环境影响、设备拆除阶段环境影响。项目业主应针对上述情况进行排查记录，记录表可参照</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w:t>
      </w:r>
      <w:bookmarkStart w:id="106" w:name="_Toc406161968"/>
    </w:p>
    <w:p w14:paraId="61E08FDC">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表 4</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-1 </w:t>
      </w:r>
      <w:r>
        <w:rPr>
          <w:rFonts w:hint="default" w:ascii="Times New Roman" w:hAnsi="Times New Roman" w:cs="Times New Roman"/>
          <w:color w:val="auto"/>
          <w:highlight w:val="none"/>
        </w:rPr>
        <w:t>HCFC-141b拆除项目环境调查表</w:t>
      </w:r>
      <w:bookmarkEnd w:id="106"/>
    </w:p>
    <w:tbl>
      <w:tblPr>
        <w:tblStyle w:val="29"/>
        <w:tblW w:w="5000" w:type="pct"/>
        <w:jc w:val="center"/>
        <w:tblLayout w:type="autofit"/>
        <w:tblCellMar>
          <w:top w:w="0" w:type="dxa"/>
          <w:left w:w="0" w:type="dxa"/>
          <w:bottom w:w="0" w:type="dxa"/>
          <w:right w:w="0" w:type="dxa"/>
        </w:tblCellMar>
      </w:tblPr>
      <w:tblGrid>
        <w:gridCol w:w="480"/>
        <w:gridCol w:w="1414"/>
        <w:gridCol w:w="912"/>
        <w:gridCol w:w="912"/>
        <w:gridCol w:w="470"/>
        <w:gridCol w:w="470"/>
        <w:gridCol w:w="912"/>
        <w:gridCol w:w="470"/>
        <w:gridCol w:w="470"/>
        <w:gridCol w:w="913"/>
        <w:gridCol w:w="913"/>
      </w:tblGrid>
      <w:tr w14:paraId="015FA6EA">
        <w:tblPrEx>
          <w:tblCellMar>
            <w:top w:w="0" w:type="dxa"/>
            <w:left w:w="0" w:type="dxa"/>
            <w:bottom w:w="0" w:type="dxa"/>
            <w:right w:w="0" w:type="dxa"/>
          </w:tblCellMar>
        </w:tblPrEx>
        <w:trPr>
          <w:trHeight w:val="750" w:hRule="atLeast"/>
          <w:jc w:val="center"/>
        </w:trPr>
        <w:tc>
          <w:tcPr>
            <w:tcW w:w="288"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23BEDB7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848"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7875D38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活动/分项工程</w:t>
            </w:r>
          </w:p>
        </w:tc>
        <w:tc>
          <w:tcPr>
            <w:tcW w:w="547"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5F74A21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环境因素</w:t>
            </w:r>
          </w:p>
        </w:tc>
        <w:tc>
          <w:tcPr>
            <w:tcW w:w="547"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1AA8D9F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排放去向</w:t>
            </w:r>
          </w:p>
        </w:tc>
        <w:tc>
          <w:tcPr>
            <w:tcW w:w="282"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4C7A2E7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c>
          <w:tcPr>
            <w:tcW w:w="282"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77C5C57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频率</w:t>
            </w:r>
          </w:p>
        </w:tc>
        <w:tc>
          <w:tcPr>
            <w:tcW w:w="547"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3A53213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w:t>
            </w:r>
          </w:p>
        </w:tc>
        <w:tc>
          <w:tcPr>
            <w:tcW w:w="282"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2D9A455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时态</w:t>
            </w:r>
          </w:p>
        </w:tc>
        <w:tc>
          <w:tcPr>
            <w:tcW w:w="282"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5B2167D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状态</w:t>
            </w:r>
          </w:p>
        </w:tc>
        <w:tc>
          <w:tcPr>
            <w:tcW w:w="547"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277805B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是否受控</w:t>
            </w:r>
          </w:p>
        </w:tc>
        <w:tc>
          <w:tcPr>
            <w:tcW w:w="547"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0B7B6E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是否守法</w:t>
            </w:r>
          </w:p>
        </w:tc>
      </w:tr>
      <w:tr w14:paraId="55F25CFB">
        <w:tblPrEx>
          <w:tblCellMar>
            <w:top w:w="0" w:type="dxa"/>
            <w:left w:w="0" w:type="dxa"/>
            <w:bottom w:w="0" w:type="dxa"/>
            <w:right w:w="0" w:type="dxa"/>
          </w:tblCellMar>
        </w:tblPrEx>
        <w:trPr>
          <w:trHeight w:val="28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tcPr>
          <w:p w14:paraId="7365347C">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90C9D65">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7918668">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3893660">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F7EBE8E">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2E27D4B">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6E0AA29">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CD199CB">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196D2C0">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40F6FB5D">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1BC66CF8">
            <w:pPr>
              <w:pStyle w:val="45"/>
              <w:bidi w:val="0"/>
              <w:rPr>
                <w:rFonts w:hint="default" w:ascii="Times New Roman" w:hAnsi="Times New Roman" w:cs="Times New Roman"/>
                <w:color w:val="auto"/>
                <w:highlight w:val="none"/>
              </w:rPr>
            </w:pPr>
          </w:p>
        </w:tc>
      </w:tr>
      <w:tr w14:paraId="4D08F70A">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07676563">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D8AC934">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748527C">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F21131C">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2D3D371">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9F6A5B8">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0AF1D81">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FBDCA2B">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56B4699">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24750F43">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5F24CF04">
            <w:pPr>
              <w:pStyle w:val="45"/>
              <w:bidi w:val="0"/>
              <w:rPr>
                <w:rFonts w:hint="default" w:ascii="Times New Roman" w:hAnsi="Times New Roman" w:cs="Times New Roman"/>
                <w:color w:val="auto"/>
                <w:highlight w:val="none"/>
              </w:rPr>
            </w:pPr>
          </w:p>
        </w:tc>
      </w:tr>
      <w:tr w14:paraId="0C6DA4AF">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432DE2FB">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A101BE7">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8F0A3A6">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DB3F63D">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3E0B7F2">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bottom"/>
          </w:tcPr>
          <w:p w14:paraId="6DFA8329">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F2D8E4B">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AA629F1">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F4D757A">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44E523C4">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7E3F54E1">
            <w:pPr>
              <w:pStyle w:val="45"/>
              <w:bidi w:val="0"/>
              <w:rPr>
                <w:rFonts w:hint="default" w:ascii="Times New Roman" w:hAnsi="Times New Roman" w:cs="Times New Roman"/>
                <w:color w:val="auto"/>
                <w:highlight w:val="none"/>
              </w:rPr>
            </w:pPr>
          </w:p>
        </w:tc>
      </w:tr>
      <w:tr w14:paraId="4026BEE7">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50D6C282">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8193725">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AEC301D">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EE0BB27">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353618E">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bottom"/>
          </w:tcPr>
          <w:p w14:paraId="3FFAA1F1">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C53FF56">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7E73AF6">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78E2C8A">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24FC5F99">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22CEC4BF">
            <w:pPr>
              <w:pStyle w:val="45"/>
              <w:bidi w:val="0"/>
              <w:rPr>
                <w:rFonts w:hint="default" w:ascii="Times New Roman" w:hAnsi="Times New Roman" w:cs="Times New Roman"/>
                <w:color w:val="auto"/>
                <w:highlight w:val="none"/>
              </w:rPr>
            </w:pPr>
          </w:p>
        </w:tc>
      </w:tr>
      <w:tr w14:paraId="30A74815">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3D08D8F6">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902BEEE">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EDC8615">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FD9F3C5">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45C7CD2">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bottom"/>
          </w:tcPr>
          <w:p w14:paraId="6F76AAAD">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1DA9A8B">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3447B80">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EBA7BD2">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4AF368E1">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198BFDD4">
            <w:pPr>
              <w:pStyle w:val="45"/>
              <w:bidi w:val="0"/>
              <w:rPr>
                <w:rFonts w:hint="default" w:ascii="Times New Roman" w:hAnsi="Times New Roman" w:cs="Times New Roman"/>
                <w:color w:val="auto"/>
                <w:highlight w:val="none"/>
              </w:rPr>
            </w:pPr>
          </w:p>
        </w:tc>
      </w:tr>
      <w:tr w14:paraId="2AC38120">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1C305CF1">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D197BBC">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8CFA903">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D1B4EC0">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F1B51BE">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8BF298A">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A16B215">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C827269">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8B4811E">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0D2C4C61">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3DB066A7">
            <w:pPr>
              <w:pStyle w:val="45"/>
              <w:bidi w:val="0"/>
              <w:rPr>
                <w:rFonts w:hint="default" w:ascii="Times New Roman" w:hAnsi="Times New Roman" w:cs="Times New Roman"/>
                <w:color w:val="auto"/>
                <w:highlight w:val="none"/>
              </w:rPr>
            </w:pPr>
          </w:p>
        </w:tc>
      </w:tr>
      <w:tr w14:paraId="1D0B4842">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43AF4D56">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BDFF416">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5899286">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D7CF476">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08B280D">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69D649C">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D95F7FD">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7F636EB">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3C0687E">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0B61791A">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52FED080">
            <w:pPr>
              <w:pStyle w:val="45"/>
              <w:bidi w:val="0"/>
              <w:rPr>
                <w:rFonts w:hint="default" w:ascii="Times New Roman" w:hAnsi="Times New Roman" w:cs="Times New Roman"/>
                <w:color w:val="auto"/>
                <w:highlight w:val="none"/>
              </w:rPr>
            </w:pPr>
          </w:p>
        </w:tc>
      </w:tr>
      <w:tr w14:paraId="563A75C4">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225B4CF4">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21F4EDE">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4B635B6">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9853546">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D5995D2">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bottom"/>
          </w:tcPr>
          <w:p w14:paraId="0996E8FE">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58D0497">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1AC051A">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78D1595">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5F9CA2B2">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2DE4E99F">
            <w:pPr>
              <w:pStyle w:val="45"/>
              <w:bidi w:val="0"/>
              <w:rPr>
                <w:rFonts w:hint="default" w:ascii="Times New Roman" w:hAnsi="Times New Roman" w:cs="Times New Roman"/>
                <w:color w:val="auto"/>
                <w:highlight w:val="none"/>
              </w:rPr>
            </w:pPr>
          </w:p>
        </w:tc>
      </w:tr>
      <w:tr w14:paraId="4319532F">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77178AF4">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4237288">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5BE3A93">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88D26F6">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0464325">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bottom"/>
          </w:tcPr>
          <w:p w14:paraId="7E4CEC9F">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02A722D">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0629042">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1028764F">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2ED699DB">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12912834">
            <w:pPr>
              <w:pStyle w:val="45"/>
              <w:bidi w:val="0"/>
              <w:rPr>
                <w:rFonts w:hint="default" w:ascii="Times New Roman" w:hAnsi="Times New Roman" w:cs="Times New Roman"/>
                <w:color w:val="auto"/>
                <w:highlight w:val="none"/>
              </w:rPr>
            </w:pPr>
          </w:p>
        </w:tc>
      </w:tr>
      <w:tr w14:paraId="2D4A0564">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6E509DF7">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41F22DA">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4C643D4">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38F0FE7">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42650DB8">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bottom"/>
          </w:tcPr>
          <w:p w14:paraId="2F720217">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10C45D2">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CD2D8BB">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CD05587">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0CBA80A8">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46E9FB43">
            <w:pPr>
              <w:pStyle w:val="45"/>
              <w:bidi w:val="0"/>
              <w:rPr>
                <w:rFonts w:hint="default" w:ascii="Times New Roman" w:hAnsi="Times New Roman" w:cs="Times New Roman"/>
                <w:color w:val="auto"/>
                <w:highlight w:val="none"/>
              </w:rPr>
            </w:pPr>
          </w:p>
        </w:tc>
      </w:tr>
      <w:tr w14:paraId="4640CCDE">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75BE0E8D">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6ED81176">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545B345">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9014E06">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A29AAE9">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bottom"/>
          </w:tcPr>
          <w:p w14:paraId="0EEBB0A3">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6397C7F">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9048B3D">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0CD211B8">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3B1A36B5">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24738772">
            <w:pPr>
              <w:pStyle w:val="45"/>
              <w:bidi w:val="0"/>
              <w:rPr>
                <w:rFonts w:hint="default" w:ascii="Times New Roman" w:hAnsi="Times New Roman" w:cs="Times New Roman"/>
                <w:color w:val="auto"/>
                <w:highlight w:val="none"/>
              </w:rPr>
            </w:pPr>
          </w:p>
        </w:tc>
      </w:tr>
      <w:tr w14:paraId="4CD422C9">
        <w:tblPrEx>
          <w:tblCellMar>
            <w:top w:w="0" w:type="dxa"/>
            <w:left w:w="0" w:type="dxa"/>
            <w:bottom w:w="0" w:type="dxa"/>
            <w:right w:w="0" w:type="dxa"/>
          </w:tblCellMar>
        </w:tblPrEx>
        <w:trPr>
          <w:trHeight w:val="315" w:hRule="atLeast"/>
          <w:jc w:val="center"/>
        </w:trPr>
        <w:tc>
          <w:tcPr>
            <w:tcW w:w="288"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14:paraId="0BC9910A">
            <w:pPr>
              <w:pStyle w:val="45"/>
              <w:bidi w:val="0"/>
              <w:rPr>
                <w:rFonts w:hint="default" w:ascii="Times New Roman" w:hAnsi="Times New Roman" w:cs="Times New Roman"/>
                <w:color w:val="auto"/>
                <w:highlight w:val="none"/>
              </w:rPr>
            </w:pPr>
          </w:p>
        </w:tc>
        <w:tc>
          <w:tcPr>
            <w:tcW w:w="848"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EE9C528">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3590D31C">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FF17675">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7822AEF7">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bottom"/>
          </w:tcPr>
          <w:p w14:paraId="52F50AED">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2A37FF9B">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FDA59AB">
            <w:pPr>
              <w:pStyle w:val="45"/>
              <w:bidi w:val="0"/>
              <w:rPr>
                <w:rFonts w:hint="default" w:ascii="Times New Roman" w:hAnsi="Times New Roman" w:cs="Times New Roman"/>
                <w:color w:val="auto"/>
                <w:highlight w:val="none"/>
              </w:rPr>
            </w:pPr>
          </w:p>
        </w:tc>
        <w:tc>
          <w:tcPr>
            <w:tcW w:w="282" w:type="pct"/>
            <w:tcBorders>
              <w:top w:val="nil"/>
              <w:left w:val="nil"/>
              <w:bottom w:val="single" w:color="auto" w:sz="4" w:space="0"/>
              <w:right w:val="single" w:color="auto" w:sz="4" w:space="0"/>
            </w:tcBorders>
            <w:noWrap/>
            <w:tcMar>
              <w:top w:w="15" w:type="dxa"/>
              <w:left w:w="15" w:type="dxa"/>
              <w:bottom w:w="0" w:type="dxa"/>
              <w:right w:w="15" w:type="dxa"/>
            </w:tcMar>
            <w:vAlign w:val="center"/>
          </w:tcPr>
          <w:p w14:paraId="5BC36639">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787EE592">
            <w:pPr>
              <w:pStyle w:val="45"/>
              <w:bidi w:val="0"/>
              <w:rPr>
                <w:rFonts w:hint="default" w:ascii="Times New Roman" w:hAnsi="Times New Roman" w:cs="Times New Roman"/>
                <w:color w:val="auto"/>
                <w:highlight w:val="none"/>
              </w:rPr>
            </w:pPr>
          </w:p>
        </w:tc>
        <w:tc>
          <w:tcPr>
            <w:tcW w:w="547" w:type="pct"/>
            <w:tcBorders>
              <w:top w:val="nil"/>
              <w:left w:val="nil"/>
              <w:bottom w:val="single" w:color="auto" w:sz="4" w:space="0"/>
              <w:right w:val="single" w:color="auto" w:sz="4" w:space="0"/>
            </w:tcBorders>
            <w:tcMar>
              <w:top w:w="15" w:type="dxa"/>
              <w:left w:w="15" w:type="dxa"/>
              <w:bottom w:w="0" w:type="dxa"/>
              <w:right w:w="15" w:type="dxa"/>
            </w:tcMar>
            <w:vAlign w:val="center"/>
          </w:tcPr>
          <w:p w14:paraId="197EC1FE">
            <w:pPr>
              <w:pStyle w:val="45"/>
              <w:bidi w:val="0"/>
              <w:rPr>
                <w:rFonts w:hint="default" w:ascii="Times New Roman" w:hAnsi="Times New Roman" w:cs="Times New Roman"/>
                <w:color w:val="auto"/>
                <w:highlight w:val="none"/>
              </w:rPr>
            </w:pPr>
          </w:p>
        </w:tc>
      </w:tr>
    </w:tbl>
    <w:p w14:paraId="6F3F5AA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参照上述内容，本章列出各阶段已确定的潜在环境影响以及典型的环境缓解措施，以及实施过程、监测过程中的职责；以及各阶段可能存在的环境风险及规避风险的操作流程和注意细节。依照本计划依据的国家法律法规、技术手则、世界银行《环境、健康和安全指南》等编制本章节，目的是减缓物料转移、设备拆除、转移等阶段的各类影响，规避相关工作中产生的环境风险。</w:t>
      </w:r>
    </w:p>
    <w:p w14:paraId="4BB3C39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依照本章节提出的措施和减控目标，业主和承包商应落实相关的环境管理行为，达到减缓环境影响、规避环境风险的相关要求，并在项目实施过程中及完成后，</w:t>
      </w:r>
      <w:r>
        <w:rPr>
          <w:rFonts w:hint="default" w:ascii="Times New Roman" w:hAnsi="Times New Roman" w:cs="Times New Roman"/>
          <w:color w:val="auto"/>
          <w:highlight w:val="none"/>
          <w:lang w:val="en-US" w:eastAsia="zh-CN"/>
        </w:rPr>
        <w:t>接受</w:t>
      </w:r>
      <w:r>
        <w:rPr>
          <w:rFonts w:hint="default" w:ascii="Times New Roman" w:hAnsi="Times New Roman" w:cs="Times New Roman"/>
          <w:color w:val="auto"/>
          <w:highlight w:val="none"/>
        </w:rPr>
        <w:t>相关方的监督和验收。</w:t>
      </w:r>
    </w:p>
    <w:p w14:paraId="4B00443D">
      <w:pPr>
        <w:pStyle w:val="3"/>
        <w:bidi w:val="0"/>
        <w:rPr>
          <w:rFonts w:hint="default" w:ascii="Times New Roman" w:hAnsi="Times New Roman" w:cs="Times New Roman"/>
          <w:color w:val="auto"/>
          <w:highlight w:val="none"/>
        </w:rPr>
      </w:pPr>
      <w:bookmarkStart w:id="107" w:name="_Toc406099547"/>
      <w:bookmarkStart w:id="108" w:name="_Toc406099699"/>
      <w:bookmarkStart w:id="109" w:name="_Toc406099823"/>
      <w:bookmarkStart w:id="110" w:name="_Toc1679"/>
      <w:r>
        <w:rPr>
          <w:rFonts w:hint="default" w:ascii="Times New Roman" w:hAnsi="Times New Roman" w:cs="Times New Roman"/>
          <w:color w:val="auto"/>
          <w:highlight w:val="none"/>
          <w:lang w:val="en-US" w:eastAsia="zh-CN"/>
        </w:rPr>
        <w:t xml:space="preserve">4.1 </w:t>
      </w:r>
      <w:r>
        <w:rPr>
          <w:rFonts w:hint="default" w:ascii="Times New Roman" w:hAnsi="Times New Roman" w:cs="Times New Roman"/>
          <w:color w:val="auto"/>
          <w:highlight w:val="none"/>
        </w:rPr>
        <w:t>停产及物料转移阶段污染控制缓解措施</w:t>
      </w:r>
      <w:bookmarkEnd w:id="107"/>
      <w:bookmarkEnd w:id="108"/>
      <w:bookmarkEnd w:id="109"/>
      <w:bookmarkEnd w:id="110"/>
    </w:p>
    <w:p w14:paraId="4773DDB5">
      <w:pPr>
        <w:rPr>
          <w:color w:val="auto"/>
        </w:rPr>
      </w:pPr>
      <w:bookmarkStart w:id="111" w:name="_Hlk1574435"/>
      <w:r>
        <w:rPr>
          <w:rFonts w:hint="eastAsia"/>
          <w:color w:val="auto"/>
        </w:rPr>
        <w:t>本</w:t>
      </w:r>
      <w:r>
        <w:rPr>
          <w:color w:val="auto"/>
        </w:rPr>
        <w:t>项目在</w:t>
      </w:r>
      <w:r>
        <w:rPr>
          <w:rFonts w:hint="eastAsia"/>
          <w:color w:val="auto"/>
        </w:rPr>
        <w:t>具体</w:t>
      </w:r>
      <w:r>
        <w:rPr>
          <w:color w:val="auto"/>
        </w:rPr>
        <w:t>拆除工程实施之前，必须</w:t>
      </w:r>
      <w:r>
        <w:rPr>
          <w:rFonts w:hint="eastAsia"/>
          <w:color w:val="auto"/>
        </w:rPr>
        <w:t>完成</w:t>
      </w:r>
      <w:r>
        <w:rPr>
          <w:color w:val="auto"/>
        </w:rPr>
        <w:t>停产及物料转移阶段</w:t>
      </w:r>
      <w:r>
        <w:rPr>
          <w:rFonts w:hint="eastAsia"/>
          <w:color w:val="auto"/>
        </w:rPr>
        <w:t>的</w:t>
      </w:r>
      <w:r>
        <w:rPr>
          <w:color w:val="auto"/>
        </w:rPr>
        <w:t>相关工作，涉及到的工序</w:t>
      </w:r>
      <w:r>
        <w:rPr>
          <w:rFonts w:hint="eastAsia"/>
          <w:color w:val="auto"/>
        </w:rPr>
        <w:t>包括</w:t>
      </w:r>
      <w:r>
        <w:rPr>
          <w:color w:val="auto"/>
        </w:rPr>
        <w:t>：</w:t>
      </w:r>
    </w:p>
    <w:p w14:paraId="1A397477">
      <w:pPr>
        <w:pStyle w:val="55"/>
        <w:numPr>
          <w:ilvl w:val="0"/>
          <w:numId w:val="16"/>
        </w:numPr>
        <w:ind w:firstLineChars="0"/>
        <w:rPr>
          <w:color w:val="auto"/>
        </w:rPr>
      </w:pPr>
      <w:r>
        <w:rPr>
          <w:rFonts w:hint="eastAsia"/>
          <w:color w:val="auto"/>
        </w:rPr>
        <w:t>HCFC</w:t>
      </w:r>
      <w:r>
        <w:rPr>
          <w:color w:val="auto"/>
        </w:rPr>
        <w:t>-</w:t>
      </w:r>
      <w:r>
        <w:rPr>
          <w:rFonts w:hint="eastAsia"/>
          <w:color w:val="auto"/>
          <w:lang w:val="en-US" w:eastAsia="zh-CN"/>
        </w:rPr>
        <w:t>141b</w:t>
      </w:r>
      <w:r>
        <w:rPr>
          <w:rFonts w:hint="eastAsia"/>
          <w:color w:val="auto"/>
        </w:rPr>
        <w:t>生产线停运，相关</w:t>
      </w:r>
      <w:r>
        <w:rPr>
          <w:color w:val="auto"/>
        </w:rPr>
        <w:t>物料</w:t>
      </w:r>
      <w:r>
        <w:rPr>
          <w:rFonts w:hint="eastAsia"/>
          <w:color w:val="auto"/>
        </w:rPr>
        <w:t>停止</w:t>
      </w:r>
      <w:r>
        <w:rPr>
          <w:color w:val="auto"/>
        </w:rPr>
        <w:t>使用；</w:t>
      </w:r>
    </w:p>
    <w:p w14:paraId="6C15E40D">
      <w:pPr>
        <w:pStyle w:val="55"/>
        <w:numPr>
          <w:ilvl w:val="0"/>
          <w:numId w:val="16"/>
        </w:numPr>
        <w:ind w:firstLineChars="0"/>
        <w:rPr>
          <w:color w:val="auto"/>
        </w:rPr>
      </w:pPr>
      <w:r>
        <w:rPr>
          <w:rFonts w:hint="eastAsia"/>
          <w:color w:val="auto"/>
        </w:rPr>
        <w:t>剩余物料的转移（包括运输</w:t>
      </w:r>
      <w:r>
        <w:rPr>
          <w:color w:val="auto"/>
        </w:rPr>
        <w:t>转移、出售、</w:t>
      </w:r>
      <w:r>
        <w:rPr>
          <w:rFonts w:hint="eastAsia"/>
          <w:color w:val="auto"/>
        </w:rPr>
        <w:t>作为</w:t>
      </w:r>
      <w:r>
        <w:rPr>
          <w:color w:val="auto"/>
        </w:rPr>
        <w:t>废物处置等）</w:t>
      </w:r>
      <w:r>
        <w:rPr>
          <w:rFonts w:hint="eastAsia"/>
          <w:color w:val="auto"/>
        </w:rPr>
        <w:t>；</w:t>
      </w:r>
    </w:p>
    <w:p w14:paraId="7E1CDFA6">
      <w:pPr>
        <w:pStyle w:val="55"/>
        <w:numPr>
          <w:ilvl w:val="0"/>
          <w:numId w:val="16"/>
        </w:numPr>
        <w:ind w:firstLineChars="0"/>
        <w:rPr>
          <w:color w:val="auto"/>
        </w:rPr>
      </w:pPr>
      <w:r>
        <w:rPr>
          <w:rFonts w:hint="eastAsia"/>
          <w:color w:val="auto"/>
          <w:lang w:val="en-US" w:eastAsia="zh-CN"/>
        </w:rPr>
        <w:t>设备的置换与清洗</w:t>
      </w:r>
    </w:p>
    <w:p w14:paraId="05DB5512">
      <w:pPr>
        <w:pStyle w:val="12"/>
        <w:rPr>
          <w:rFonts w:hint="default" w:eastAsia="宋体"/>
          <w:color w:val="auto"/>
          <w:lang w:val="en-US" w:eastAsia="zh-CN"/>
        </w:rPr>
      </w:pPr>
      <w:r>
        <w:rPr>
          <w:rFonts w:hint="eastAsia"/>
          <w:color w:val="auto"/>
          <w:lang w:val="en-US" w:eastAsia="zh-CN"/>
        </w:rPr>
        <w:t>2024年10月22日，车间接公司生产部下达的停车令，HCFC-141b装置在完成偏二氯乙烯大槽，偏二氯乙烯、AHF计量槽的物料合并后投料完成，对所有中间料并槽并且蒸馏完成，原辅料全部消耗完成；HCFC-141b成品全部桶装存至成品库，HCFC-142b回收料压料至VDF装置作为原料使用。</w:t>
      </w:r>
    </w:p>
    <w:p w14:paraId="79FE641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截止202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年1月底，</w:t>
      </w:r>
      <w:r>
        <w:rPr>
          <w:rFonts w:hint="default" w:ascii="Times New Roman" w:hAnsi="Times New Roman" w:cs="Times New Roman"/>
          <w:color w:val="auto"/>
          <w:highlight w:val="none"/>
        </w:rPr>
        <w:t>已完成了装置系统内相关物料、</w:t>
      </w:r>
      <w:r>
        <w:rPr>
          <w:rFonts w:hint="default" w:ascii="Times New Roman" w:hAnsi="Times New Roman" w:cs="Times New Roman"/>
          <w:color w:val="auto"/>
          <w:highlight w:val="none"/>
          <w:lang w:val="en-US" w:eastAsia="zh-CN"/>
        </w:rPr>
        <w:t>危废</w:t>
      </w:r>
      <w:r>
        <w:rPr>
          <w:rFonts w:hint="default" w:ascii="Times New Roman" w:hAnsi="Times New Roman" w:cs="Times New Roman"/>
          <w:color w:val="auto"/>
          <w:highlight w:val="none"/>
        </w:rPr>
        <w:t>的清理和处置工作。系统各设备、管道内无遗留物料。经检查</w:t>
      </w:r>
      <w:r>
        <w:rPr>
          <w:rFonts w:hint="default" w:ascii="Times New Roman" w:hAnsi="Times New Roman" w:cs="Times New Roman"/>
          <w:color w:val="auto"/>
          <w:highlight w:val="none"/>
          <w:lang w:val="en-US" w:eastAsia="zh-CN"/>
        </w:rPr>
        <w:t>核实</w:t>
      </w:r>
      <w:r>
        <w:rPr>
          <w:rFonts w:hint="default" w:ascii="Times New Roman" w:hAnsi="Times New Roman" w:cs="Times New Roman"/>
          <w:color w:val="auto"/>
          <w:highlight w:val="none"/>
        </w:rPr>
        <w:t>，F1</w:t>
      </w:r>
      <w:r>
        <w:rPr>
          <w:rFonts w:hint="default" w:ascii="Times New Roman" w:hAnsi="Times New Roman" w:cs="Times New Roman"/>
          <w:color w:val="auto"/>
          <w:highlight w:val="none"/>
          <w:lang w:val="en-US" w:eastAsia="zh-CN"/>
        </w:rPr>
        <w:t>41b</w:t>
      </w:r>
      <w:r>
        <w:rPr>
          <w:rFonts w:hint="default" w:ascii="Times New Roman" w:hAnsi="Times New Roman" w:cs="Times New Roman"/>
          <w:color w:val="auto"/>
          <w:highlight w:val="none"/>
        </w:rPr>
        <w:t>装置</w:t>
      </w:r>
      <w:r>
        <w:rPr>
          <w:rFonts w:hint="default" w:ascii="Times New Roman" w:hAnsi="Times New Roman" w:cs="Times New Roman"/>
          <w:color w:val="auto"/>
          <w:highlight w:val="none"/>
          <w:lang w:val="en-US" w:eastAsia="zh-CN"/>
        </w:rPr>
        <w:t>待拆除设备设施</w:t>
      </w:r>
      <w:r>
        <w:rPr>
          <w:rFonts w:hint="default" w:ascii="Times New Roman" w:hAnsi="Times New Roman" w:cs="Times New Roman"/>
          <w:color w:val="auto"/>
          <w:highlight w:val="none"/>
        </w:rPr>
        <w:t>无遗留物料及残留污染物。</w:t>
      </w:r>
    </w:p>
    <w:p w14:paraId="54798328">
      <w:pPr>
        <w:pStyle w:val="4"/>
        <w:bidi w:val="0"/>
        <w:rPr>
          <w:color w:val="auto"/>
        </w:rPr>
      </w:pPr>
      <w:bookmarkStart w:id="112" w:name="_Toc410227433"/>
      <w:bookmarkStart w:id="113" w:name="_Toc23223"/>
      <w:r>
        <w:rPr>
          <w:rFonts w:hint="eastAsia"/>
          <w:color w:val="auto"/>
          <w:lang w:val="en-US" w:eastAsia="zh-CN"/>
        </w:rPr>
        <w:t xml:space="preserve">4.1.1 </w:t>
      </w:r>
      <w:r>
        <w:rPr>
          <w:rFonts w:hint="eastAsia"/>
          <w:color w:val="auto"/>
        </w:rPr>
        <w:t>环境影响及</w:t>
      </w:r>
      <w:r>
        <w:rPr>
          <w:color w:val="auto"/>
        </w:rPr>
        <w:t>预防措施</w:t>
      </w:r>
      <w:bookmarkEnd w:id="112"/>
      <w:bookmarkEnd w:id="113"/>
    </w:p>
    <w:p w14:paraId="1C0CC5E7">
      <w:pPr>
        <w:ind w:firstLine="420" w:firstLineChars="0"/>
        <w:rPr>
          <w:color w:val="auto"/>
        </w:rPr>
      </w:pPr>
      <w:r>
        <w:rPr>
          <w:rFonts w:hint="eastAsia"/>
          <w:color w:val="auto"/>
        </w:rPr>
        <w:t>在HCFC</w:t>
      </w:r>
      <w:r>
        <w:rPr>
          <w:color w:val="auto"/>
        </w:rPr>
        <w:t>-</w:t>
      </w:r>
      <w:r>
        <w:rPr>
          <w:rFonts w:hint="eastAsia"/>
          <w:color w:val="auto"/>
          <w:lang w:val="en-US" w:eastAsia="zh-CN"/>
        </w:rPr>
        <w:t>141b</w:t>
      </w:r>
      <w:r>
        <w:rPr>
          <w:rFonts w:hint="eastAsia"/>
          <w:color w:val="auto"/>
        </w:rPr>
        <w:t>生产线</w:t>
      </w:r>
      <w:r>
        <w:rPr>
          <w:color w:val="auto"/>
        </w:rPr>
        <w:t>关闭项目实施过程中，</w:t>
      </w:r>
      <w:r>
        <w:rPr>
          <w:rFonts w:hint="eastAsia"/>
          <w:color w:val="auto"/>
        </w:rPr>
        <w:t>应严格</w:t>
      </w:r>
      <w:r>
        <w:rPr>
          <w:color w:val="auto"/>
        </w:rPr>
        <w:t>执行预防性的措施</w:t>
      </w:r>
      <w:r>
        <w:rPr>
          <w:rFonts w:hint="eastAsia"/>
          <w:color w:val="auto"/>
        </w:rPr>
        <w:t>，</w:t>
      </w:r>
      <w:r>
        <w:rPr>
          <w:color w:val="auto"/>
        </w:rPr>
        <w:t>尽可能避免产生环境问题。</w:t>
      </w:r>
    </w:p>
    <w:p w14:paraId="133DF58D">
      <w:pPr>
        <w:ind w:firstLine="420" w:firstLineChars="0"/>
        <w:rPr>
          <w:color w:val="auto"/>
        </w:rPr>
      </w:pPr>
      <w:r>
        <w:rPr>
          <w:rFonts w:hint="eastAsia"/>
          <w:color w:val="auto"/>
        </w:rPr>
        <w:t>在</w:t>
      </w:r>
      <w:r>
        <w:rPr>
          <w:color w:val="auto"/>
        </w:rPr>
        <w:t>上述三个工序中，</w:t>
      </w:r>
      <w:r>
        <w:rPr>
          <w:rFonts w:hint="eastAsia"/>
          <w:color w:val="auto"/>
        </w:rPr>
        <w:t>识别可能</w:t>
      </w:r>
      <w:r>
        <w:rPr>
          <w:color w:val="auto"/>
        </w:rPr>
        <w:t>存在的现场环境</w:t>
      </w:r>
      <w:r>
        <w:rPr>
          <w:rFonts w:hint="eastAsia"/>
          <w:color w:val="auto"/>
        </w:rPr>
        <w:t>问题</w:t>
      </w:r>
      <w:r>
        <w:rPr>
          <w:color w:val="auto"/>
        </w:rPr>
        <w:t>如下：</w:t>
      </w:r>
    </w:p>
    <w:p w14:paraId="5BF5DDF9">
      <w:pPr>
        <w:ind w:firstLine="420" w:firstLineChars="0"/>
        <w:rPr>
          <w:b/>
          <w:color w:val="auto"/>
          <w:u w:val="none"/>
        </w:rPr>
      </w:pPr>
      <w:r>
        <w:rPr>
          <w:rFonts w:hint="eastAsia"/>
          <w:b/>
          <w:color w:val="auto"/>
          <w:u w:val="none"/>
        </w:rPr>
        <w:t>剩余物料</w:t>
      </w:r>
      <w:r>
        <w:rPr>
          <w:b/>
          <w:color w:val="auto"/>
          <w:u w:val="none"/>
        </w:rPr>
        <w:t>的</w:t>
      </w:r>
      <w:r>
        <w:rPr>
          <w:rFonts w:hint="eastAsia"/>
          <w:b/>
          <w:color w:val="auto"/>
          <w:u w:val="none"/>
        </w:rPr>
        <w:t>泄漏、</w:t>
      </w:r>
      <w:r>
        <w:rPr>
          <w:b/>
          <w:color w:val="auto"/>
          <w:u w:val="none"/>
        </w:rPr>
        <w:t>挥发</w:t>
      </w:r>
    </w:p>
    <w:p w14:paraId="040B1718">
      <w:pPr>
        <w:bidi w:val="0"/>
      </w:pPr>
      <w:r>
        <w:rPr>
          <w:rFonts w:hint="eastAsia"/>
        </w:rPr>
        <w:t>HCFC</w:t>
      </w:r>
      <w:r>
        <w:t>-</w:t>
      </w:r>
      <w:r>
        <w:rPr>
          <w:rFonts w:hint="eastAsia"/>
          <w:lang w:val="en-US" w:eastAsia="zh-CN"/>
        </w:rPr>
        <w:t>141b</w:t>
      </w:r>
      <w:r>
        <w:rPr>
          <w:rFonts w:hint="eastAsia"/>
        </w:rPr>
        <w:t>生产线</w:t>
      </w:r>
      <w:r>
        <w:t>涉及到的生产</w:t>
      </w:r>
      <w:r>
        <w:rPr>
          <w:rFonts w:hint="eastAsia"/>
        </w:rPr>
        <w:t>物料</w:t>
      </w:r>
      <w:r>
        <w:t>及</w:t>
      </w:r>
      <w:r>
        <w:rPr>
          <w:rFonts w:hint="eastAsia"/>
        </w:rPr>
        <w:t>产品</w:t>
      </w:r>
      <w:r>
        <w:t>等</w:t>
      </w:r>
      <w:r>
        <w:rPr>
          <w:rFonts w:hint="eastAsia"/>
        </w:rPr>
        <w:t>包括</w:t>
      </w:r>
      <w:r>
        <w:t>偏</w:t>
      </w:r>
      <w:r>
        <w:rPr>
          <w:rFonts w:hint="eastAsia"/>
          <w:lang w:val="en-US" w:eastAsia="zh-CN"/>
        </w:rPr>
        <w:t>二</w:t>
      </w:r>
      <w:r>
        <w:t>氯乙烯</w:t>
      </w:r>
      <w:r>
        <w:rPr>
          <w:rFonts w:hint="eastAsia"/>
          <w:lang w:eastAsia="zh-CN"/>
        </w:rPr>
        <w:t>、</w:t>
      </w:r>
      <w:r>
        <w:rPr>
          <w:rFonts w:hint="eastAsia"/>
          <w:lang w:val="en-US" w:eastAsia="zh-CN"/>
        </w:rPr>
        <w:t>氟化氢</w:t>
      </w:r>
      <w:r>
        <w:rPr>
          <w:rFonts w:hint="eastAsia"/>
          <w:lang w:eastAsia="zh-CN"/>
        </w:rPr>
        <w:t>、</w:t>
      </w:r>
      <w:r>
        <w:rPr>
          <w:rFonts w:hint="eastAsia"/>
          <w:lang w:val="en-US" w:eastAsia="zh-CN"/>
        </w:rPr>
        <w:t>液碱、</w:t>
      </w:r>
      <w:r>
        <w:rPr>
          <w:rFonts w:hint="eastAsia"/>
        </w:rPr>
        <w:t>HCFC-</w:t>
      </w:r>
      <w:r>
        <w:t>141b</w:t>
      </w:r>
      <w:r>
        <w:rPr>
          <w:rFonts w:hint="eastAsia"/>
          <w:lang w:eastAsia="zh-CN"/>
        </w:rPr>
        <w:t>、</w:t>
      </w:r>
      <w:r>
        <w:t>溴素</w:t>
      </w:r>
      <w:r>
        <w:rPr>
          <w:rFonts w:hint="eastAsia"/>
          <w:lang w:eastAsia="zh-CN"/>
        </w:rPr>
        <w:t>、</w:t>
      </w:r>
      <w:r>
        <w:rPr>
          <w:rFonts w:hint="eastAsia"/>
        </w:rPr>
        <w:t>HCFC-</w:t>
      </w:r>
      <w:r>
        <w:t>142b</w:t>
      </w:r>
      <w:r>
        <w:rPr>
          <w:rFonts w:hint="eastAsia"/>
        </w:rPr>
        <w:t>等。</w:t>
      </w:r>
      <w:r>
        <w:t>在</w:t>
      </w:r>
      <w:r>
        <w:rPr>
          <w:rFonts w:hint="eastAsia"/>
        </w:rPr>
        <w:t>转移</w:t>
      </w:r>
      <w:r>
        <w:t>的过程中</w:t>
      </w:r>
      <w:r>
        <w:rPr>
          <w:rFonts w:hint="eastAsia"/>
        </w:rPr>
        <w:t>如</w:t>
      </w:r>
      <w:r>
        <w:t>发生泄漏、滴洒等问题，</w:t>
      </w:r>
      <w:r>
        <w:rPr>
          <w:rFonts w:hint="eastAsia"/>
        </w:rPr>
        <w:t>污染车间</w:t>
      </w:r>
      <w:r>
        <w:t>及周边</w:t>
      </w:r>
      <w:r>
        <w:rPr>
          <w:rFonts w:hint="eastAsia"/>
        </w:rPr>
        <w:t>的</w:t>
      </w:r>
      <w:r>
        <w:t>大气环境，</w:t>
      </w:r>
      <w:r>
        <w:rPr>
          <w:rFonts w:hint="eastAsia"/>
        </w:rPr>
        <w:t>对水体</w:t>
      </w:r>
      <w:r>
        <w:t>也有潜在的影响</w:t>
      </w:r>
      <w:r>
        <w:rPr>
          <w:rFonts w:hint="eastAsia"/>
        </w:rPr>
        <w:t>。</w:t>
      </w:r>
    </w:p>
    <w:p w14:paraId="525998DD">
      <w:pPr>
        <w:ind w:firstLine="420" w:firstLineChars="0"/>
        <w:rPr>
          <w:color w:val="auto"/>
        </w:rPr>
      </w:pPr>
      <w:r>
        <w:rPr>
          <w:rFonts w:hint="eastAsia"/>
          <w:color w:val="auto"/>
        </w:rPr>
        <w:t>上述</w:t>
      </w:r>
      <w:r>
        <w:rPr>
          <w:color w:val="auto"/>
        </w:rPr>
        <w:t>危险化学品的转移</w:t>
      </w:r>
      <w:r>
        <w:rPr>
          <w:rFonts w:hint="eastAsia"/>
          <w:color w:val="auto"/>
        </w:rPr>
        <w:t>工作</w:t>
      </w:r>
      <w:r>
        <w:rPr>
          <w:color w:val="auto"/>
        </w:rPr>
        <w:t>实施</w:t>
      </w:r>
      <w:r>
        <w:rPr>
          <w:rFonts w:hint="eastAsia"/>
          <w:color w:val="auto"/>
        </w:rPr>
        <w:t>具体</w:t>
      </w:r>
      <w:r>
        <w:rPr>
          <w:color w:val="auto"/>
        </w:rPr>
        <w:t>流程及</w:t>
      </w:r>
      <w:r>
        <w:rPr>
          <w:rFonts w:hint="eastAsia"/>
          <w:color w:val="auto"/>
        </w:rPr>
        <w:t>预防措施参考4</w:t>
      </w:r>
      <w:r>
        <w:rPr>
          <w:color w:val="auto"/>
        </w:rPr>
        <w:t>.1.3</w:t>
      </w:r>
      <w:r>
        <w:rPr>
          <w:rFonts w:hint="eastAsia"/>
          <w:color w:val="auto"/>
        </w:rPr>
        <w:t>章节</w:t>
      </w:r>
      <w:r>
        <w:rPr>
          <w:color w:val="auto"/>
        </w:rPr>
        <w:t>执行，</w:t>
      </w:r>
      <w:r>
        <w:rPr>
          <w:rFonts w:hint="eastAsia"/>
          <w:color w:val="auto"/>
        </w:rPr>
        <w:t>规避</w:t>
      </w:r>
      <w:r>
        <w:rPr>
          <w:color w:val="auto"/>
        </w:rPr>
        <w:t>泄漏的环境风险。</w:t>
      </w:r>
    </w:p>
    <w:p w14:paraId="50E310EE">
      <w:pPr>
        <w:ind w:firstLine="420" w:firstLineChars="0"/>
        <w:rPr>
          <w:b/>
          <w:color w:val="auto"/>
          <w:u w:val="none"/>
        </w:rPr>
      </w:pPr>
      <w:r>
        <w:rPr>
          <w:rFonts w:hint="eastAsia"/>
          <w:b/>
          <w:color w:val="auto"/>
          <w:u w:val="none"/>
        </w:rPr>
        <w:t>设备</w:t>
      </w:r>
      <w:r>
        <w:rPr>
          <w:b/>
          <w:color w:val="auto"/>
          <w:u w:val="none"/>
        </w:rPr>
        <w:t>冲洗的废水、</w:t>
      </w:r>
      <w:r>
        <w:rPr>
          <w:rFonts w:hint="eastAsia"/>
          <w:b/>
          <w:color w:val="auto"/>
          <w:u w:val="none"/>
        </w:rPr>
        <w:t>废气</w:t>
      </w:r>
    </w:p>
    <w:p w14:paraId="3D04C878">
      <w:pPr>
        <w:ind w:firstLine="420" w:firstLineChars="0"/>
        <w:rPr>
          <w:color w:val="auto"/>
        </w:rPr>
      </w:pPr>
      <w:r>
        <w:rPr>
          <w:rFonts w:hint="eastAsia"/>
          <w:color w:val="auto"/>
        </w:rPr>
        <w:t>本项目</w:t>
      </w:r>
      <w:r>
        <w:rPr>
          <w:color w:val="auto"/>
        </w:rPr>
        <w:t>在物料转移完毕后，应统一进行</w:t>
      </w:r>
      <w:r>
        <w:rPr>
          <w:rFonts w:hint="eastAsia"/>
          <w:color w:val="auto"/>
        </w:rPr>
        <w:t>HCFC-</w:t>
      </w:r>
      <w:r>
        <w:rPr>
          <w:rFonts w:cs="Arial"/>
          <w:color w:val="auto"/>
          <w:szCs w:val="28"/>
          <w:highlight w:val="none"/>
        </w:rPr>
        <w:t>141b</w:t>
      </w:r>
      <w:r>
        <w:rPr>
          <w:rFonts w:hint="eastAsia"/>
          <w:color w:val="auto"/>
        </w:rPr>
        <w:t>生产线相关设备</w:t>
      </w:r>
      <w:r>
        <w:rPr>
          <w:color w:val="auto"/>
        </w:rPr>
        <w:t>的冲洗工作，</w:t>
      </w:r>
      <w:r>
        <w:rPr>
          <w:rFonts w:hint="eastAsia"/>
          <w:color w:val="auto"/>
        </w:rPr>
        <w:t>冲洗</w:t>
      </w:r>
      <w:r>
        <w:rPr>
          <w:color w:val="auto"/>
        </w:rPr>
        <w:t>的废水</w:t>
      </w:r>
      <w:r>
        <w:rPr>
          <w:rFonts w:hint="eastAsia"/>
          <w:color w:val="auto"/>
        </w:rPr>
        <w:t>、</w:t>
      </w:r>
      <w:r>
        <w:rPr>
          <w:color w:val="auto"/>
        </w:rPr>
        <w:t>置换的</w:t>
      </w:r>
      <w:r>
        <w:rPr>
          <w:rFonts w:hint="eastAsia"/>
          <w:color w:val="auto"/>
        </w:rPr>
        <w:t>废气</w:t>
      </w:r>
      <w:r>
        <w:rPr>
          <w:color w:val="auto"/>
        </w:rPr>
        <w:t>如排放不当</w:t>
      </w:r>
      <w:r>
        <w:rPr>
          <w:rFonts w:hint="eastAsia"/>
          <w:color w:val="auto"/>
        </w:rPr>
        <w:t>，仍会</w:t>
      </w:r>
      <w:r>
        <w:rPr>
          <w:color w:val="auto"/>
        </w:rPr>
        <w:t>对车间及周边的大气、水环境造成影响。</w:t>
      </w:r>
    </w:p>
    <w:p w14:paraId="120B33B1">
      <w:pPr>
        <w:ind w:firstLine="420" w:firstLineChars="0"/>
        <w:rPr>
          <w:color w:val="auto"/>
        </w:rPr>
      </w:pPr>
      <w:r>
        <w:rPr>
          <w:rFonts w:hint="eastAsia"/>
          <w:color w:val="auto"/>
        </w:rPr>
        <w:t>在</w:t>
      </w:r>
      <w:r>
        <w:rPr>
          <w:color w:val="auto"/>
        </w:rPr>
        <w:t>设备</w:t>
      </w:r>
      <w:r>
        <w:rPr>
          <w:rFonts w:hint="eastAsia"/>
          <w:color w:val="auto"/>
        </w:rPr>
        <w:t>冲洗</w:t>
      </w:r>
      <w:r>
        <w:rPr>
          <w:color w:val="auto"/>
        </w:rPr>
        <w:t>过程中，</w:t>
      </w:r>
      <w:r>
        <w:rPr>
          <w:rFonts w:hint="eastAsia"/>
          <w:color w:val="auto"/>
        </w:rPr>
        <w:t>预防</w:t>
      </w:r>
      <w:r>
        <w:rPr>
          <w:color w:val="auto"/>
        </w:rPr>
        <w:t>环境问题的措施</w:t>
      </w:r>
      <w:r>
        <w:rPr>
          <w:rFonts w:hint="eastAsia"/>
          <w:color w:val="auto"/>
        </w:rPr>
        <w:t>及</w:t>
      </w:r>
      <w:r>
        <w:rPr>
          <w:color w:val="auto"/>
        </w:rPr>
        <w:t>注意事项如下：</w:t>
      </w:r>
    </w:p>
    <w:p w14:paraId="62EFF373">
      <w:pPr>
        <w:keepNext w:val="0"/>
        <w:keepLines w:val="0"/>
        <w:pageBreakBefore w:val="0"/>
        <w:widowControl w:val="0"/>
        <w:numPr>
          <w:ilvl w:val="0"/>
          <w:numId w:val="17"/>
        </w:numPr>
        <w:kinsoku/>
        <w:wordWrap/>
        <w:overflowPunct/>
        <w:topLinePunct w:val="0"/>
        <w:autoSpaceDE/>
        <w:autoSpaceDN/>
        <w:bidi w:val="0"/>
        <w:adjustRightInd/>
        <w:snapToGrid/>
        <w:ind w:left="0"/>
        <w:textAlignment w:val="auto"/>
        <w:rPr>
          <w:color w:val="auto"/>
        </w:rPr>
      </w:pPr>
      <w:r>
        <w:rPr>
          <w:rFonts w:hint="eastAsia"/>
          <w:color w:val="auto"/>
        </w:rPr>
        <w:t>物料</w:t>
      </w:r>
      <w:r>
        <w:rPr>
          <w:color w:val="auto"/>
        </w:rPr>
        <w:t>的放空：</w:t>
      </w:r>
      <w:r>
        <w:rPr>
          <w:rFonts w:hint="eastAsia"/>
          <w:color w:val="auto"/>
        </w:rPr>
        <w:t>在设备</w:t>
      </w:r>
      <w:r>
        <w:rPr>
          <w:color w:val="auto"/>
        </w:rPr>
        <w:t>清洗之前将物料放空至最低位，并在放空</w:t>
      </w:r>
      <w:r>
        <w:rPr>
          <w:rFonts w:hint="eastAsia"/>
          <w:color w:val="auto"/>
        </w:rPr>
        <w:t>时注意</w:t>
      </w:r>
      <w:r>
        <w:rPr>
          <w:color w:val="auto"/>
        </w:rPr>
        <w:t>避免物料的滴洒</w:t>
      </w:r>
      <w:r>
        <w:rPr>
          <w:rFonts w:hint="eastAsia"/>
          <w:color w:val="auto"/>
        </w:rPr>
        <w:t>；</w:t>
      </w:r>
    </w:p>
    <w:p w14:paraId="406BF071">
      <w:pPr>
        <w:keepNext w:val="0"/>
        <w:keepLines w:val="0"/>
        <w:pageBreakBefore w:val="0"/>
        <w:widowControl w:val="0"/>
        <w:numPr>
          <w:ilvl w:val="0"/>
          <w:numId w:val="17"/>
        </w:numPr>
        <w:kinsoku/>
        <w:wordWrap/>
        <w:overflowPunct/>
        <w:topLinePunct w:val="0"/>
        <w:autoSpaceDE/>
        <w:autoSpaceDN/>
        <w:bidi w:val="0"/>
        <w:adjustRightInd/>
        <w:snapToGrid/>
        <w:ind w:left="0"/>
        <w:textAlignment w:val="auto"/>
        <w:rPr>
          <w:color w:val="auto"/>
        </w:rPr>
      </w:pPr>
      <w:r>
        <w:rPr>
          <w:rFonts w:hint="eastAsia"/>
          <w:color w:val="auto"/>
        </w:rPr>
        <w:t>气体</w:t>
      </w:r>
      <w:r>
        <w:rPr>
          <w:color w:val="auto"/>
        </w:rPr>
        <w:t>置换：</w:t>
      </w:r>
      <w:r>
        <w:rPr>
          <w:rFonts w:hint="eastAsia"/>
          <w:color w:val="auto"/>
        </w:rPr>
        <w:t>在</w:t>
      </w:r>
      <w:r>
        <w:rPr>
          <w:color w:val="auto"/>
        </w:rPr>
        <w:t>安全措施及急救措施准备完毕的前提下，</w:t>
      </w:r>
      <w:r>
        <w:rPr>
          <w:rFonts w:hint="eastAsia"/>
          <w:color w:val="auto"/>
        </w:rPr>
        <w:t>采用</w:t>
      </w:r>
      <w:r>
        <w:rPr>
          <w:color w:val="auto"/>
        </w:rPr>
        <w:t>密闭管道</w:t>
      </w:r>
      <w:r>
        <w:rPr>
          <w:rFonts w:hint="eastAsia"/>
          <w:color w:val="auto"/>
        </w:rPr>
        <w:t>将</w:t>
      </w:r>
      <w:r>
        <w:rPr>
          <w:color w:val="auto"/>
        </w:rPr>
        <w:t>设备（</w:t>
      </w:r>
      <w:r>
        <w:rPr>
          <w:rFonts w:hint="eastAsia"/>
          <w:color w:val="auto"/>
        </w:rPr>
        <w:t>储罐</w:t>
      </w:r>
      <w:r>
        <w:rPr>
          <w:color w:val="auto"/>
        </w:rPr>
        <w:t>）</w:t>
      </w:r>
      <w:r>
        <w:rPr>
          <w:rFonts w:hint="eastAsia"/>
          <w:color w:val="auto"/>
        </w:rPr>
        <w:t>内</w:t>
      </w:r>
      <w:r>
        <w:rPr>
          <w:color w:val="auto"/>
        </w:rPr>
        <w:t>的气体抽出</w:t>
      </w:r>
      <w:r>
        <w:rPr>
          <w:rFonts w:hint="eastAsia"/>
          <w:color w:val="auto"/>
        </w:rPr>
        <w:t>，</w:t>
      </w:r>
      <w:r>
        <w:rPr>
          <w:color w:val="auto"/>
        </w:rPr>
        <w:t>或</w:t>
      </w:r>
      <w:r>
        <w:rPr>
          <w:rFonts w:hint="eastAsia"/>
          <w:color w:val="auto"/>
        </w:rPr>
        <w:t>置换</w:t>
      </w:r>
      <w:r>
        <w:rPr>
          <w:color w:val="auto"/>
        </w:rPr>
        <w:t>干净空气（</w:t>
      </w:r>
      <w:r>
        <w:rPr>
          <w:rFonts w:hint="eastAsia"/>
          <w:color w:val="auto"/>
        </w:rPr>
        <w:t>氮气</w:t>
      </w:r>
      <w:r>
        <w:rPr>
          <w:color w:val="auto"/>
        </w:rPr>
        <w:t>）</w:t>
      </w:r>
      <w:r>
        <w:rPr>
          <w:rFonts w:hint="eastAsia"/>
          <w:color w:val="auto"/>
        </w:rPr>
        <w:t>，</w:t>
      </w:r>
      <w:r>
        <w:rPr>
          <w:color w:val="auto"/>
        </w:rPr>
        <w:t>排</w:t>
      </w:r>
      <w:r>
        <w:rPr>
          <w:rFonts w:hint="eastAsia"/>
          <w:color w:val="auto"/>
        </w:rPr>
        <w:t>出</w:t>
      </w:r>
      <w:r>
        <w:rPr>
          <w:color w:val="auto"/>
        </w:rPr>
        <w:t>的气体</w:t>
      </w:r>
      <w:r>
        <w:rPr>
          <w:rFonts w:hint="eastAsia"/>
          <w:color w:val="auto"/>
        </w:rPr>
        <w:t>同样</w:t>
      </w:r>
      <w:r>
        <w:rPr>
          <w:color w:val="auto"/>
        </w:rPr>
        <w:t>密闭处理，经过</w:t>
      </w:r>
      <w:r>
        <w:rPr>
          <w:rFonts w:hint="eastAsia"/>
          <w:color w:val="auto"/>
        </w:rPr>
        <w:t>洗涤</w:t>
      </w:r>
      <w:r>
        <w:rPr>
          <w:color w:val="auto"/>
        </w:rPr>
        <w:t>吸收</w:t>
      </w:r>
      <w:r>
        <w:rPr>
          <w:rFonts w:hint="eastAsia"/>
          <w:color w:val="auto"/>
        </w:rPr>
        <w:t>后</w:t>
      </w:r>
      <w:r>
        <w:rPr>
          <w:color w:val="auto"/>
        </w:rPr>
        <w:t>剩余废气</w:t>
      </w:r>
      <w:r>
        <w:rPr>
          <w:rFonts w:hint="eastAsia"/>
          <w:color w:val="auto"/>
        </w:rPr>
        <w:t>可</w:t>
      </w:r>
      <w:r>
        <w:rPr>
          <w:color w:val="auto"/>
        </w:rPr>
        <w:t>排放</w:t>
      </w:r>
      <w:r>
        <w:rPr>
          <w:rFonts w:hint="eastAsia"/>
          <w:color w:val="auto"/>
        </w:rPr>
        <w:t>至</w:t>
      </w:r>
      <w:r>
        <w:rPr>
          <w:color w:val="auto"/>
        </w:rPr>
        <w:t>大气环境；</w:t>
      </w:r>
    </w:p>
    <w:p w14:paraId="108A8CE2">
      <w:pPr>
        <w:keepNext w:val="0"/>
        <w:keepLines w:val="0"/>
        <w:pageBreakBefore w:val="0"/>
        <w:widowControl w:val="0"/>
        <w:numPr>
          <w:ilvl w:val="0"/>
          <w:numId w:val="17"/>
        </w:numPr>
        <w:kinsoku/>
        <w:wordWrap/>
        <w:overflowPunct/>
        <w:topLinePunct w:val="0"/>
        <w:autoSpaceDE/>
        <w:autoSpaceDN/>
        <w:bidi w:val="0"/>
        <w:adjustRightInd/>
        <w:snapToGrid/>
        <w:ind w:left="0"/>
        <w:textAlignment w:val="auto"/>
        <w:rPr>
          <w:color w:val="auto"/>
        </w:rPr>
      </w:pPr>
      <w:r>
        <w:rPr>
          <w:rFonts w:hint="eastAsia"/>
          <w:color w:val="auto"/>
        </w:rPr>
        <w:t>设备</w:t>
      </w:r>
      <w:r>
        <w:rPr>
          <w:color w:val="auto"/>
        </w:rPr>
        <w:t>的清洗：</w:t>
      </w:r>
      <w:r>
        <w:rPr>
          <w:rFonts w:hint="eastAsia"/>
          <w:color w:val="auto"/>
        </w:rPr>
        <w:t>在</w:t>
      </w:r>
      <w:r>
        <w:rPr>
          <w:color w:val="auto"/>
        </w:rPr>
        <w:t>储罐内气体</w:t>
      </w:r>
      <w:r>
        <w:rPr>
          <w:rFonts w:hint="eastAsia"/>
          <w:color w:val="auto"/>
        </w:rPr>
        <w:t>全部</w:t>
      </w:r>
      <w:r>
        <w:rPr>
          <w:color w:val="auto"/>
        </w:rPr>
        <w:t>抽出或置换完毕后，</w:t>
      </w:r>
      <w:r>
        <w:rPr>
          <w:rFonts w:hint="eastAsia"/>
          <w:color w:val="auto"/>
        </w:rPr>
        <w:t>施工人员可</w:t>
      </w:r>
      <w:r>
        <w:rPr>
          <w:color w:val="auto"/>
        </w:rPr>
        <w:t>通过</w:t>
      </w:r>
      <w:r>
        <w:rPr>
          <w:rFonts w:hint="eastAsia"/>
          <w:color w:val="auto"/>
          <w:lang w:val="en-US" w:eastAsia="zh-CN"/>
        </w:rPr>
        <w:t>入</w:t>
      </w:r>
      <w:r>
        <w:rPr>
          <w:color w:val="auto"/>
        </w:rPr>
        <w:t>孔采用高压水枪等作业方式进行设备</w:t>
      </w:r>
      <w:r>
        <w:rPr>
          <w:rFonts w:hint="eastAsia"/>
          <w:color w:val="auto"/>
        </w:rPr>
        <w:t>清洗</w:t>
      </w:r>
      <w:r>
        <w:rPr>
          <w:color w:val="auto"/>
        </w:rPr>
        <w:t>，</w:t>
      </w:r>
      <w:r>
        <w:rPr>
          <w:rFonts w:hint="eastAsia"/>
          <w:color w:val="auto"/>
        </w:rPr>
        <w:t>在</w:t>
      </w:r>
      <w:r>
        <w:rPr>
          <w:color w:val="auto"/>
        </w:rPr>
        <w:t>设备的排放口或计量口处</w:t>
      </w:r>
      <w:r>
        <w:rPr>
          <w:rFonts w:hint="eastAsia"/>
          <w:color w:val="auto"/>
        </w:rPr>
        <w:t>采用</w:t>
      </w:r>
      <w:r>
        <w:rPr>
          <w:color w:val="auto"/>
        </w:rPr>
        <w:t>管道方式密闭输送清洗后的废水，禁止排放到场地内环境中。</w:t>
      </w:r>
    </w:p>
    <w:p w14:paraId="4B822191">
      <w:pPr>
        <w:keepNext w:val="0"/>
        <w:keepLines w:val="0"/>
        <w:pageBreakBefore w:val="0"/>
        <w:widowControl w:val="0"/>
        <w:kinsoku/>
        <w:wordWrap/>
        <w:overflowPunct/>
        <w:topLinePunct w:val="0"/>
        <w:autoSpaceDE/>
        <w:autoSpaceDN/>
        <w:bidi w:val="0"/>
        <w:adjustRightInd/>
        <w:snapToGrid/>
        <w:ind w:left="0" w:firstLine="482" w:firstLineChars="200"/>
        <w:textAlignment w:val="auto"/>
        <w:rPr>
          <w:b/>
          <w:color w:val="auto"/>
          <w:u w:val="none"/>
        </w:rPr>
      </w:pPr>
      <w:r>
        <w:rPr>
          <w:rFonts w:hint="eastAsia"/>
          <w:b/>
          <w:color w:val="auto"/>
          <w:u w:val="none"/>
        </w:rPr>
        <w:t>施工噪声</w:t>
      </w:r>
    </w:p>
    <w:p w14:paraId="57DCA838">
      <w:pPr>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color w:val="auto"/>
        </w:rPr>
      </w:pPr>
      <w:r>
        <w:rPr>
          <w:rFonts w:hint="eastAsia"/>
          <w:color w:val="auto"/>
        </w:rPr>
        <w:t>在物料</w:t>
      </w:r>
      <w:r>
        <w:rPr>
          <w:color w:val="auto"/>
        </w:rPr>
        <w:t>转移及设备清洗阶段中，车间内的</w:t>
      </w:r>
      <w:r>
        <w:rPr>
          <w:rFonts w:hint="eastAsia"/>
          <w:color w:val="auto"/>
        </w:rPr>
        <w:t>建筑</w:t>
      </w:r>
      <w:r>
        <w:rPr>
          <w:color w:val="auto"/>
        </w:rPr>
        <w:t>废渣及噪声</w:t>
      </w:r>
      <w:r>
        <w:rPr>
          <w:rFonts w:hint="eastAsia"/>
          <w:color w:val="auto"/>
        </w:rPr>
        <w:t>环境影响</w:t>
      </w:r>
      <w:r>
        <w:rPr>
          <w:color w:val="auto"/>
        </w:rPr>
        <w:t>较小</w:t>
      </w:r>
      <w:r>
        <w:rPr>
          <w:rFonts w:hint="eastAsia"/>
          <w:color w:val="auto"/>
        </w:rPr>
        <w:t>。</w:t>
      </w:r>
    </w:p>
    <w:p w14:paraId="0A0BF79A">
      <w:pPr>
        <w:pStyle w:val="4"/>
        <w:rPr>
          <w:rFonts w:hint="default" w:ascii="Times New Roman" w:hAnsi="Times New Roman" w:cs="Times New Roman"/>
          <w:color w:val="auto"/>
          <w:highlight w:val="none"/>
        </w:rPr>
      </w:pPr>
      <w:bookmarkStart w:id="114" w:name="_Toc27363"/>
      <w:bookmarkStart w:id="115" w:name="_Toc406099700"/>
      <w:bookmarkStart w:id="116" w:name="_Toc406099824"/>
      <w:bookmarkStart w:id="117" w:name="_Toc406099548"/>
      <w:r>
        <w:rPr>
          <w:rFonts w:hint="default" w:ascii="Times New Roman" w:hAnsi="Times New Roman" w:cs="Times New Roman"/>
          <w:color w:val="auto"/>
          <w:highlight w:val="none"/>
          <w:lang w:val="en-US" w:eastAsia="zh-CN"/>
        </w:rPr>
        <w:t xml:space="preserve">4.1.2 </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控制措施</w:t>
      </w:r>
      <w:bookmarkEnd w:id="114"/>
      <w:bookmarkEnd w:id="115"/>
      <w:bookmarkEnd w:id="116"/>
      <w:bookmarkEnd w:id="117"/>
    </w:p>
    <w:p w14:paraId="6D882F4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HCFC-141b生产线停产、转移阶段中，结合项目业主提供的生产线及拆除活动概况，本小节汇总了一些较突出的环境问题和来源，并依照相关的国家法律、法规、指南、准则以及世界银行政策（包括《环境、健康和安全指南》）制订了一些缓解措施，以此来解决物料转移、设备拆除转移等阶段的各类影响，以及实施和监测职责，具体内容汇总见表4</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w:t>
      </w:r>
    </w:p>
    <w:p w14:paraId="0AC54081">
      <w:pPr>
        <w:bidi w:val="0"/>
        <w:rPr>
          <w:rFonts w:hint="default" w:ascii="Times New Roman" w:hAnsi="Times New Roman" w:eastAsia="宋体" w:cs="Times New Roman"/>
          <w:color w:val="auto"/>
          <w:sz w:val="21"/>
          <w:szCs w:val="21"/>
          <w:highlight w:val="none"/>
          <w:lang w:val="en-US" w:eastAsia="zh-CN"/>
        </w:rPr>
        <w:sectPr>
          <w:pgSz w:w="11906" w:h="16838"/>
          <w:pgMar w:top="1440" w:right="1800" w:bottom="1440" w:left="1800" w:header="794" w:footer="992" w:gutter="0"/>
          <w:pgNumType w:fmt="decimal"/>
          <w:cols w:space="425" w:num="1"/>
          <w:docGrid w:type="lines" w:linePitch="326" w:charSpace="0"/>
        </w:sectPr>
      </w:pPr>
      <w:r>
        <w:rPr>
          <w:rFonts w:hint="eastAsia"/>
          <w:lang w:val="en-US" w:eastAsia="zh-CN"/>
        </w:rPr>
        <w:t>物料转移过程中的废气及废水依托企业原有环保措施进行处置。焚烧炉焚烧处理工艺及污水处理工艺详见章节1.1.1.2。</w:t>
      </w:r>
    </w:p>
    <w:p w14:paraId="49553961">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HCFC-141b生产线停产、转移阶段环境影响汇总</w:t>
      </w:r>
    </w:p>
    <w:tbl>
      <w:tblPr>
        <w:tblStyle w:val="30"/>
        <w:tblW w:w="14848" w:type="dxa"/>
        <w:tblInd w:w="-9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1"/>
        <w:gridCol w:w="2116"/>
        <w:gridCol w:w="2466"/>
        <w:gridCol w:w="3616"/>
        <w:gridCol w:w="2604"/>
        <w:gridCol w:w="3315"/>
      </w:tblGrid>
      <w:tr w14:paraId="539E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blHeader/>
        </w:trPr>
        <w:tc>
          <w:tcPr>
            <w:tcW w:w="731" w:type="dxa"/>
            <w:shd w:val="clear" w:color="auto" w:fill="auto"/>
            <w:vAlign w:val="center"/>
          </w:tcPr>
          <w:p w14:paraId="3519A19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2116" w:type="dxa"/>
            <w:shd w:val="clear" w:color="auto" w:fill="auto"/>
            <w:vAlign w:val="center"/>
          </w:tcPr>
          <w:p w14:paraId="17D9B19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总量</w:t>
            </w:r>
          </w:p>
        </w:tc>
        <w:tc>
          <w:tcPr>
            <w:tcW w:w="2466" w:type="dxa"/>
            <w:shd w:val="clear" w:color="auto" w:fill="auto"/>
            <w:vAlign w:val="center"/>
          </w:tcPr>
          <w:p w14:paraId="5917B9C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工序/来源</w:t>
            </w:r>
          </w:p>
        </w:tc>
        <w:tc>
          <w:tcPr>
            <w:tcW w:w="3616" w:type="dxa"/>
            <w:shd w:val="clear" w:color="auto" w:fill="auto"/>
            <w:vAlign w:val="center"/>
          </w:tcPr>
          <w:p w14:paraId="35C9071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减缓措施</w:t>
            </w:r>
          </w:p>
        </w:tc>
        <w:tc>
          <w:tcPr>
            <w:tcW w:w="2604" w:type="dxa"/>
            <w:shd w:val="clear" w:color="auto" w:fill="auto"/>
            <w:vAlign w:val="center"/>
          </w:tcPr>
          <w:p w14:paraId="137BFF0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监管内容</w:t>
            </w:r>
          </w:p>
        </w:tc>
        <w:tc>
          <w:tcPr>
            <w:tcW w:w="3315" w:type="dxa"/>
            <w:shd w:val="clear" w:color="auto" w:fill="auto"/>
            <w:vAlign w:val="center"/>
          </w:tcPr>
          <w:p w14:paraId="388B34E3">
            <w:pPr>
              <w:pStyle w:val="45"/>
              <w:bidi w:val="0"/>
              <w:ind w:firstLine="0" w:firstLineChars="0"/>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rPr>
              <w:t>要求</w:t>
            </w:r>
          </w:p>
        </w:tc>
      </w:tr>
      <w:tr w14:paraId="6D13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clear" w:color="auto" w:fill="auto"/>
            <w:vAlign w:val="center"/>
          </w:tcPr>
          <w:p w14:paraId="5D8FF9A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2116" w:type="dxa"/>
            <w:shd w:val="clear" w:color="auto" w:fill="auto"/>
            <w:vAlign w:val="center"/>
          </w:tcPr>
          <w:p w14:paraId="1D54557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约8000</w:t>
            </w:r>
            <w:r>
              <w:rPr>
                <w:rFonts w:hint="default" w:ascii="Times New Roman" w:hAnsi="Times New Roman" w:cs="Times New Roman"/>
                <w:color w:val="auto"/>
                <w:highlight w:val="none"/>
              </w:rPr>
              <w:t>kg</w:t>
            </w:r>
          </w:p>
          <w:p w14:paraId="0B319879">
            <w:pPr>
              <w:pStyle w:val="45"/>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通过流量计计算</w:t>
            </w:r>
            <w:r>
              <w:rPr>
                <w:rFonts w:hint="default" w:ascii="Times New Roman" w:hAnsi="Times New Roman" w:cs="Times New Roman"/>
                <w:color w:val="auto"/>
                <w:highlight w:val="none"/>
                <w:lang w:eastAsia="zh-CN"/>
              </w:rPr>
              <w:t>）</w:t>
            </w:r>
          </w:p>
        </w:tc>
        <w:tc>
          <w:tcPr>
            <w:tcW w:w="2466" w:type="dxa"/>
            <w:shd w:val="clear" w:color="auto" w:fill="auto"/>
            <w:vAlign w:val="center"/>
          </w:tcPr>
          <w:p w14:paraId="717069E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转移中设备吹扫废气。</w:t>
            </w:r>
          </w:p>
        </w:tc>
        <w:tc>
          <w:tcPr>
            <w:tcW w:w="3616" w:type="dxa"/>
            <w:shd w:val="clear" w:color="auto" w:fill="auto"/>
            <w:vAlign w:val="center"/>
          </w:tcPr>
          <w:p w14:paraId="69D27B9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在相对封闭空间内操作，设置气体收集系统和净化处理装置，采取有效措施防范有毒有害物质释放；</w:t>
            </w:r>
          </w:p>
          <w:p w14:paraId="4AC25BA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设备转移时的吹扫废气</w:t>
            </w:r>
            <w:r>
              <w:rPr>
                <w:rFonts w:hint="default" w:ascii="Times New Roman" w:hAnsi="Times New Roman" w:cs="Times New Roman"/>
                <w:color w:val="auto"/>
                <w:highlight w:val="none"/>
                <w:lang w:val="en-US" w:eastAsia="zh-CN"/>
              </w:rPr>
              <w:t>收集后进行焚烧处置</w:t>
            </w:r>
            <w:r>
              <w:rPr>
                <w:rFonts w:hint="default" w:ascii="Times New Roman" w:hAnsi="Times New Roman" w:cs="Times New Roman"/>
                <w:color w:val="auto"/>
                <w:highlight w:val="none"/>
              </w:rPr>
              <w:t>。</w:t>
            </w:r>
          </w:p>
        </w:tc>
        <w:tc>
          <w:tcPr>
            <w:tcW w:w="2604" w:type="dxa"/>
            <w:shd w:val="clear" w:color="auto" w:fill="auto"/>
            <w:vAlign w:val="center"/>
          </w:tcPr>
          <w:p w14:paraId="75C3370B">
            <w:pPr>
              <w:pStyle w:val="45"/>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厂区北侧焚烧炉</w:t>
            </w:r>
            <w:r>
              <w:rPr>
                <w:rFonts w:hint="default" w:ascii="Times New Roman" w:hAnsi="Times New Roman" w:cs="Times New Roman"/>
                <w:color w:val="auto"/>
                <w:highlight w:val="none"/>
              </w:rPr>
              <w:t>排放口自行监测</w:t>
            </w:r>
            <w:r>
              <w:rPr>
                <w:rFonts w:hint="eastAsia" w:cs="Times New Roman"/>
                <w:color w:val="auto"/>
                <w:highlight w:val="none"/>
                <w:lang w:eastAsia="zh-CN"/>
              </w:rPr>
              <w:t>（氮氧化物、一氧化碳、氯化氢、氟化氢、</w:t>
            </w:r>
            <w:r>
              <w:rPr>
                <w:rFonts w:hint="eastAsia" w:cs="Times New Roman"/>
                <w:color w:val="auto"/>
                <w:highlight w:val="none"/>
                <w:lang w:val="en-US" w:eastAsia="zh-CN"/>
              </w:rPr>
              <w:t>格林曼烟气黑度</w:t>
            </w:r>
            <w:r>
              <w:rPr>
                <w:rFonts w:hint="eastAsia" w:cs="Times New Roman"/>
                <w:color w:val="auto"/>
                <w:highlight w:val="none"/>
                <w:lang w:eastAsia="zh-CN"/>
              </w:rPr>
              <w:t>）</w:t>
            </w:r>
          </w:p>
        </w:tc>
        <w:tc>
          <w:tcPr>
            <w:tcW w:w="3315" w:type="dxa"/>
            <w:shd w:val="clear" w:color="auto" w:fill="auto"/>
            <w:vAlign w:val="center"/>
          </w:tcPr>
          <w:p w14:paraId="60150B7A">
            <w:pPr>
              <w:pStyle w:val="45"/>
              <w:bidi w:val="0"/>
              <w:ind w:firstLine="0" w:firstLineChars="0"/>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rPr>
              <w:t>达到危险废物焚烧污染控制标准》(GB18484-2020)</w:t>
            </w:r>
            <w:r>
              <w:rPr>
                <w:rFonts w:hint="eastAsia" w:cs="Times New Roman"/>
                <w:color w:val="auto"/>
                <w:highlight w:val="none"/>
                <w:lang w:eastAsia="zh-CN"/>
              </w:rPr>
              <w:t>、</w:t>
            </w:r>
            <w:r>
              <w:rPr>
                <w:rFonts w:hint="default" w:ascii="Times New Roman" w:hAnsi="Times New Roman" w:cs="Times New Roman"/>
                <w:color w:val="auto"/>
                <w:highlight w:val="none"/>
              </w:rPr>
              <w:t>《锅炉大气污染物排放标准》(DB3214385-2022</w:t>
            </w:r>
            <w:r>
              <w:rPr>
                <w:rFonts w:hint="eastAsia" w:cs="Times New Roman"/>
                <w:color w:val="auto"/>
                <w:highlight w:val="none"/>
                <w:lang w:eastAsia="zh-CN"/>
              </w:rPr>
              <w:t>、</w:t>
            </w:r>
            <w:r>
              <w:rPr>
                <w:rFonts w:hint="default" w:ascii="Times New Roman" w:hAnsi="Times New Roman" w:cs="Times New Roman"/>
                <w:color w:val="auto"/>
                <w:highlight w:val="none"/>
              </w:rPr>
              <w:t>《大气污染物综合排放标准》(DB3214041-2021)</w:t>
            </w:r>
            <w:r>
              <w:rPr>
                <w:rFonts w:hint="eastAsia" w:cs="Times New Roman"/>
                <w:color w:val="auto"/>
                <w:highlight w:val="none"/>
                <w:lang w:eastAsia="zh-CN"/>
              </w:rPr>
              <w:t>、</w:t>
            </w:r>
            <w:r>
              <w:rPr>
                <w:rFonts w:hint="default" w:ascii="Times New Roman" w:hAnsi="Times New Roman" w:cs="Times New Roman"/>
                <w:color w:val="auto"/>
                <w:highlight w:val="none"/>
              </w:rPr>
              <w:t>《石油化学工业污染物排放标准》(GB31571-2015)排放标准</w:t>
            </w:r>
          </w:p>
        </w:tc>
      </w:tr>
      <w:tr w14:paraId="371E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clear" w:color="auto" w:fill="auto"/>
            <w:vAlign w:val="center"/>
          </w:tcPr>
          <w:p w14:paraId="5B5ACAB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2116" w:type="dxa"/>
            <w:shd w:val="clear" w:color="auto" w:fill="auto"/>
            <w:vAlign w:val="center"/>
          </w:tcPr>
          <w:p w14:paraId="27D8B0F4">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冲洗废水：347吨</w:t>
            </w:r>
          </w:p>
          <w:p w14:paraId="0E1A9306">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通过流量计统计</w:t>
            </w:r>
            <w:r>
              <w:rPr>
                <w:rFonts w:hint="default" w:ascii="Times New Roman" w:hAnsi="Times New Roman" w:cs="Times New Roman"/>
                <w:color w:val="auto"/>
                <w:highlight w:val="none"/>
                <w:lang w:eastAsia="zh-CN"/>
              </w:rPr>
              <w:t>）</w:t>
            </w:r>
          </w:p>
        </w:tc>
        <w:tc>
          <w:tcPr>
            <w:tcW w:w="2466" w:type="dxa"/>
            <w:shd w:val="clear" w:color="auto" w:fill="auto"/>
            <w:vAlign w:val="center"/>
          </w:tcPr>
          <w:p w14:paraId="1762834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物料转移时设备的冲洗废水；</w:t>
            </w:r>
          </w:p>
        </w:tc>
        <w:tc>
          <w:tcPr>
            <w:tcW w:w="3616" w:type="dxa"/>
            <w:shd w:val="clear" w:color="auto" w:fill="auto"/>
            <w:vAlign w:val="center"/>
          </w:tcPr>
          <w:p w14:paraId="7698339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危险化学品储存设备冲洗废水统一收集后由</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有限公司厂区内现污水处理站进行集中处理；注意防洒、防漏；</w:t>
            </w:r>
          </w:p>
          <w:p w14:paraId="580F0DA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物料放空、清洗、临时堆放等区域，应设置适当的防雨、防渗、拦挡等隔离措施，必要时设置围堰，防止废水外溢或渗漏。</w:t>
            </w:r>
          </w:p>
        </w:tc>
        <w:tc>
          <w:tcPr>
            <w:tcW w:w="2604" w:type="dxa"/>
            <w:shd w:val="clear" w:color="auto" w:fill="auto"/>
            <w:vAlign w:val="center"/>
          </w:tcPr>
          <w:p w14:paraId="42635496">
            <w:pPr>
              <w:pStyle w:val="45"/>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现场</w:t>
            </w:r>
            <w:r>
              <w:rPr>
                <w:rFonts w:hint="default" w:ascii="Times New Roman" w:hAnsi="Times New Roman" w:cs="Times New Roman"/>
                <w:color w:val="auto"/>
                <w:highlight w:val="none"/>
                <w:lang w:val="en-US" w:eastAsia="zh-CN"/>
              </w:rPr>
              <w:t>目测</w:t>
            </w:r>
            <w:r>
              <w:rPr>
                <w:rFonts w:hint="default" w:ascii="Times New Roman" w:hAnsi="Times New Roman" w:cs="Times New Roman"/>
                <w:color w:val="auto"/>
                <w:highlight w:val="none"/>
              </w:rPr>
              <w:t>及</w:t>
            </w:r>
            <w:r>
              <w:rPr>
                <w:rFonts w:hint="default" w:ascii="Times New Roman" w:hAnsi="Times New Roman" w:cs="Times New Roman"/>
                <w:color w:val="auto"/>
                <w:highlight w:val="none"/>
                <w:lang w:val="en-US" w:eastAsia="zh-CN"/>
              </w:rPr>
              <w:t>厂区水处理排水口处</w:t>
            </w:r>
            <w:r>
              <w:rPr>
                <w:rFonts w:hint="default" w:ascii="Times New Roman" w:hAnsi="Times New Roman" w:cs="Times New Roman"/>
                <w:color w:val="auto"/>
                <w:highlight w:val="none"/>
              </w:rPr>
              <w:t>监测</w:t>
            </w:r>
            <w:r>
              <w:rPr>
                <w:rFonts w:hint="eastAsia" w:cs="Times New Roman"/>
                <w:color w:val="auto"/>
                <w:highlight w:val="none"/>
                <w:lang w:eastAsia="zh-CN"/>
              </w:rPr>
              <w:t>（pH值、悬浮物、总氮、总磷、</w:t>
            </w:r>
            <w:r>
              <w:rPr>
                <w:rFonts w:hint="eastAsia" w:cs="Times New Roman"/>
                <w:color w:val="auto"/>
                <w:highlight w:val="none"/>
                <w:lang w:val="en-US" w:eastAsia="zh-CN"/>
              </w:rPr>
              <w:t>氨氮、</w:t>
            </w:r>
            <w:r>
              <w:rPr>
                <w:rFonts w:hint="eastAsia" w:cs="Times New Roman"/>
                <w:color w:val="auto"/>
                <w:highlight w:val="none"/>
                <w:lang w:eastAsia="zh-CN"/>
              </w:rPr>
              <w:t>硫化物、石油类）</w:t>
            </w:r>
          </w:p>
        </w:tc>
        <w:tc>
          <w:tcPr>
            <w:tcW w:w="3315" w:type="dxa"/>
            <w:shd w:val="clear" w:color="auto" w:fill="auto"/>
            <w:vAlign w:val="center"/>
          </w:tcPr>
          <w:p w14:paraId="4D5E4B4E">
            <w:pPr>
              <w:pStyle w:val="45"/>
              <w:bidi w:val="0"/>
              <w:ind w:firstLine="0" w:firstLineChars="0"/>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rPr>
              <w:t>达到</w:t>
            </w:r>
            <w:r>
              <w:rPr>
                <w:rFonts w:hint="eastAsia"/>
              </w:rPr>
              <w:t>常熟中法工业水处理有限公司接管标准</w:t>
            </w:r>
            <w:r>
              <w:rPr>
                <w:rFonts w:hint="eastAsia"/>
                <w:lang w:val="en-US" w:eastAsia="zh-CN"/>
              </w:rPr>
              <w:t>、《石油化学工业污染物排放标准》GB31571-2015、</w:t>
            </w:r>
            <w:r>
              <w:rPr>
                <w:rFonts w:hint="default" w:ascii="Times New Roman" w:hAnsi="Times New Roman" w:cs="Times New Roman"/>
                <w:color w:val="auto"/>
                <w:highlight w:val="none"/>
                <w:lang w:eastAsia="zh-CN"/>
              </w:rPr>
              <w:t>GB 8978-1996</w:t>
            </w:r>
            <w:r>
              <w:rPr>
                <w:rFonts w:hint="default" w:ascii="Times New Roman" w:hAnsi="Times New Roman" w:cs="Times New Roman"/>
                <w:color w:val="auto"/>
                <w:highlight w:val="none"/>
              </w:rPr>
              <w:t>排放标准</w:t>
            </w:r>
          </w:p>
        </w:tc>
      </w:tr>
      <w:tr w14:paraId="01CF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clear" w:color="auto" w:fill="auto"/>
            <w:vAlign w:val="center"/>
          </w:tcPr>
          <w:p w14:paraId="3C34591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2116" w:type="dxa"/>
            <w:shd w:val="clear" w:color="auto" w:fill="auto"/>
            <w:vAlign w:val="center"/>
          </w:tcPr>
          <w:p w14:paraId="79B5F17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466" w:type="dxa"/>
            <w:shd w:val="clear" w:color="auto" w:fill="auto"/>
            <w:vAlign w:val="center"/>
          </w:tcPr>
          <w:p w14:paraId="304EA29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泵房、设备运转噪声；</w:t>
            </w:r>
          </w:p>
          <w:p w14:paraId="25251CC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拆卸施工噪声。</w:t>
            </w:r>
          </w:p>
        </w:tc>
        <w:tc>
          <w:tcPr>
            <w:tcW w:w="3616" w:type="dxa"/>
            <w:shd w:val="clear" w:color="auto" w:fill="auto"/>
            <w:vAlign w:val="center"/>
          </w:tcPr>
          <w:p w14:paraId="0F17135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项目承包商确保停产期间设备运行正常；</w:t>
            </w:r>
          </w:p>
          <w:p w14:paraId="6E49875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夜间停止作业。</w:t>
            </w:r>
          </w:p>
        </w:tc>
        <w:tc>
          <w:tcPr>
            <w:tcW w:w="2604" w:type="dxa"/>
            <w:shd w:val="clear" w:color="auto" w:fill="auto"/>
            <w:vAlign w:val="center"/>
          </w:tcPr>
          <w:p w14:paraId="7427B44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厂界监测</w:t>
            </w:r>
          </w:p>
        </w:tc>
        <w:tc>
          <w:tcPr>
            <w:tcW w:w="3315" w:type="dxa"/>
            <w:shd w:val="clear" w:color="auto" w:fill="auto"/>
            <w:vAlign w:val="center"/>
          </w:tcPr>
          <w:p w14:paraId="1FD54642">
            <w:pPr>
              <w:pStyle w:val="45"/>
              <w:bidi w:val="0"/>
              <w:ind w:firstLine="0" w:firstLineChars="0"/>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rPr>
              <w:t>达到GB12348- 2008标准（等效连续A声级）</w:t>
            </w:r>
          </w:p>
        </w:tc>
      </w:tr>
    </w:tbl>
    <w:p w14:paraId="5AF39AC3">
      <w:pPr>
        <w:rPr>
          <w:rFonts w:hint="default" w:ascii="Times New Roman" w:hAnsi="Times New Roman" w:cs="Times New Roman"/>
          <w:color w:val="auto"/>
          <w:highlight w:val="none"/>
        </w:rPr>
        <w:sectPr>
          <w:pgSz w:w="16838" w:h="11906" w:orient="landscape"/>
          <w:pgMar w:top="1440" w:right="1800" w:bottom="1440" w:left="1800" w:header="851" w:footer="992" w:gutter="0"/>
          <w:pgNumType w:fmt="decimal"/>
          <w:cols w:space="425" w:num="1"/>
          <w:docGrid w:type="linesAndChars" w:linePitch="326" w:charSpace="0"/>
        </w:sectPr>
      </w:pPr>
    </w:p>
    <w:p w14:paraId="6E7C572D">
      <w:pPr>
        <w:pStyle w:val="4"/>
        <w:rPr>
          <w:rFonts w:cs="Times New Roman"/>
          <w:color w:val="auto"/>
        </w:rPr>
      </w:pPr>
      <w:bookmarkStart w:id="118" w:name="_Toc8674"/>
      <w:bookmarkStart w:id="119" w:name="_Toc410227435"/>
      <w:r>
        <w:rPr>
          <w:rFonts w:hint="eastAsia" w:cs="Times New Roman"/>
          <w:color w:val="auto"/>
          <w:lang w:val="en-US" w:eastAsia="zh-CN"/>
        </w:rPr>
        <w:t xml:space="preserve">4.1.3 </w:t>
      </w:r>
      <w:r>
        <w:rPr>
          <w:rFonts w:hint="eastAsia" w:cs="Times New Roman"/>
          <w:color w:val="auto"/>
        </w:rPr>
        <w:t>危险化学品管理</w:t>
      </w:r>
      <w:r>
        <w:rPr>
          <w:rFonts w:cs="Times New Roman"/>
          <w:color w:val="auto"/>
        </w:rPr>
        <w:t>措施</w:t>
      </w:r>
      <w:bookmarkEnd w:id="118"/>
      <w:bookmarkEnd w:id="119"/>
    </w:p>
    <w:p w14:paraId="26BB83F9">
      <w:pPr>
        <w:bidi w:val="0"/>
        <w:rPr>
          <w:color w:val="auto"/>
        </w:rPr>
      </w:pPr>
      <w:r>
        <w:rPr>
          <w:rFonts w:hint="eastAsia"/>
          <w:color w:val="auto"/>
        </w:rPr>
        <w:t>在HCFC-</w:t>
      </w:r>
      <w:r>
        <w:rPr>
          <w:rFonts w:hint="eastAsia"/>
          <w:color w:val="auto"/>
          <w:lang w:val="en-US" w:eastAsia="zh-CN"/>
        </w:rPr>
        <w:t>141b</w:t>
      </w:r>
      <w:r>
        <w:rPr>
          <w:rFonts w:hint="eastAsia"/>
          <w:color w:val="auto"/>
        </w:rPr>
        <w:t>生产线</w:t>
      </w:r>
      <w:r>
        <w:rPr>
          <w:color w:val="auto"/>
        </w:rPr>
        <w:t>物料转移阶段</w:t>
      </w:r>
      <w:r>
        <w:rPr>
          <w:rFonts w:hint="eastAsia"/>
          <w:color w:val="auto"/>
        </w:rPr>
        <w:t>中</w:t>
      </w:r>
      <w:r>
        <w:rPr>
          <w:color w:val="auto"/>
        </w:rPr>
        <w:t>，</w:t>
      </w:r>
      <w:r>
        <w:rPr>
          <w:rFonts w:hint="eastAsia"/>
          <w:color w:val="auto"/>
        </w:rPr>
        <w:t>涉及到生产</w:t>
      </w:r>
      <w:r>
        <w:rPr>
          <w:color w:val="auto"/>
        </w:rPr>
        <w:t>物料</w:t>
      </w:r>
      <w:r>
        <w:rPr>
          <w:rFonts w:hint="eastAsia"/>
          <w:color w:val="auto"/>
        </w:rPr>
        <w:t>、</w:t>
      </w:r>
      <w:r>
        <w:rPr>
          <w:color w:val="auto"/>
        </w:rPr>
        <w:t>成品</w:t>
      </w:r>
      <w:r>
        <w:rPr>
          <w:rFonts w:hint="eastAsia"/>
          <w:color w:val="auto"/>
        </w:rPr>
        <w:t>及</w:t>
      </w:r>
      <w:r>
        <w:rPr>
          <w:color w:val="auto"/>
        </w:rPr>
        <w:t>催化剂包括</w:t>
      </w:r>
      <w:r>
        <w:rPr>
          <w:rFonts w:hint="eastAsia"/>
          <w:color w:val="auto"/>
        </w:rPr>
        <w:t>可能剩余</w:t>
      </w:r>
      <w:r>
        <w:rPr>
          <w:color w:val="auto"/>
        </w:rPr>
        <w:t>的偏</w:t>
      </w:r>
      <w:r>
        <w:rPr>
          <w:rFonts w:hint="eastAsia"/>
          <w:color w:val="auto"/>
          <w:lang w:val="en-US" w:eastAsia="zh-CN"/>
        </w:rPr>
        <w:t>二</w:t>
      </w:r>
      <w:r>
        <w:rPr>
          <w:color w:val="auto"/>
        </w:rPr>
        <w:t>氯乙烯</w:t>
      </w:r>
      <w:r>
        <w:rPr>
          <w:rFonts w:hint="eastAsia"/>
          <w:color w:val="auto"/>
          <w:lang w:eastAsia="zh-CN"/>
        </w:rPr>
        <w:t>、</w:t>
      </w:r>
      <w:r>
        <w:rPr>
          <w:rFonts w:hint="eastAsia"/>
          <w:color w:val="auto"/>
          <w:lang w:val="en-US" w:eastAsia="zh-CN"/>
        </w:rPr>
        <w:t>氟化氢</w:t>
      </w:r>
      <w:r>
        <w:rPr>
          <w:rFonts w:hint="eastAsia"/>
          <w:color w:val="auto"/>
          <w:lang w:eastAsia="zh-CN"/>
        </w:rPr>
        <w:t>、</w:t>
      </w:r>
      <w:r>
        <w:rPr>
          <w:rFonts w:hint="eastAsia"/>
          <w:color w:val="auto"/>
          <w:lang w:val="en-US" w:eastAsia="zh-CN"/>
        </w:rPr>
        <w:t>液碱、</w:t>
      </w:r>
      <w:r>
        <w:rPr>
          <w:rFonts w:hint="eastAsia"/>
          <w:color w:val="auto"/>
        </w:rPr>
        <w:t>HCFC-</w:t>
      </w:r>
      <w:r>
        <w:rPr>
          <w:color w:val="auto"/>
        </w:rPr>
        <w:t>141b</w:t>
      </w:r>
      <w:r>
        <w:rPr>
          <w:rFonts w:hint="eastAsia"/>
          <w:color w:val="auto"/>
          <w:lang w:eastAsia="zh-CN"/>
        </w:rPr>
        <w:t>、</w:t>
      </w:r>
      <w:r>
        <w:rPr>
          <w:color w:val="auto"/>
        </w:rPr>
        <w:t>溴素</w:t>
      </w:r>
      <w:r>
        <w:rPr>
          <w:rFonts w:hint="eastAsia"/>
          <w:color w:val="auto"/>
          <w:lang w:eastAsia="zh-CN"/>
        </w:rPr>
        <w:t>、</w:t>
      </w:r>
      <w:r>
        <w:rPr>
          <w:rFonts w:hint="eastAsia"/>
          <w:color w:val="auto"/>
        </w:rPr>
        <w:t>HCFC-</w:t>
      </w:r>
      <w:r>
        <w:rPr>
          <w:color w:val="auto"/>
        </w:rPr>
        <w:t>142b</w:t>
      </w:r>
      <w:r>
        <w:rPr>
          <w:rFonts w:hint="eastAsia"/>
          <w:color w:val="auto"/>
        </w:rPr>
        <w:t>等，</w:t>
      </w:r>
      <w:r>
        <w:rPr>
          <w:color w:val="auto"/>
        </w:rPr>
        <w:t>。</w:t>
      </w:r>
    </w:p>
    <w:p w14:paraId="71BDC6E7">
      <w:pPr>
        <w:bidi w:val="0"/>
        <w:rPr>
          <w:color w:val="auto"/>
        </w:rPr>
      </w:pPr>
      <w:r>
        <w:rPr>
          <w:rFonts w:hint="eastAsia"/>
          <w:color w:val="auto"/>
        </w:rPr>
        <w:t>上述化学品</w:t>
      </w:r>
      <w:r>
        <w:rPr>
          <w:color w:val="auto"/>
        </w:rPr>
        <w:t>根据</w:t>
      </w:r>
      <w:r>
        <w:rPr>
          <w:rFonts w:hint="eastAsia"/>
          <w:color w:val="auto"/>
        </w:rPr>
        <w:t>《国家</w:t>
      </w:r>
      <w:r>
        <w:rPr>
          <w:color w:val="auto"/>
        </w:rPr>
        <w:t>危险化学品名录》</w:t>
      </w:r>
      <w:r>
        <w:rPr>
          <w:rFonts w:hint="eastAsia"/>
          <w:color w:val="auto"/>
        </w:rPr>
        <w:t>、《国家危险废物名录》、GB</w:t>
      </w:r>
      <w:r>
        <w:rPr>
          <w:rFonts w:hint="eastAsia"/>
          <w:color w:val="auto"/>
          <w:lang w:val="en-US" w:eastAsia="zh-CN"/>
        </w:rPr>
        <w:t xml:space="preserve"> </w:t>
      </w:r>
      <w:r>
        <w:rPr>
          <w:rFonts w:hint="eastAsia"/>
          <w:color w:val="auto"/>
        </w:rPr>
        <w:t>505-2007鉴别</w:t>
      </w:r>
      <w:r>
        <w:rPr>
          <w:color w:val="auto"/>
        </w:rPr>
        <w:t>标准</w:t>
      </w:r>
      <w:r>
        <w:rPr>
          <w:rFonts w:hint="eastAsia"/>
          <w:color w:val="auto"/>
        </w:rPr>
        <w:t>等</w:t>
      </w:r>
      <w:r>
        <w:rPr>
          <w:color w:val="auto"/>
        </w:rPr>
        <w:t>分类</w:t>
      </w:r>
      <w:r>
        <w:rPr>
          <w:rFonts w:hint="eastAsia"/>
          <w:color w:val="auto"/>
        </w:rPr>
        <w:t>处理</w:t>
      </w:r>
      <w:r>
        <w:rPr>
          <w:color w:val="auto"/>
        </w:rPr>
        <w:t>，</w:t>
      </w:r>
      <w:r>
        <w:rPr>
          <w:rFonts w:hint="eastAsia"/>
          <w:color w:val="auto"/>
        </w:rPr>
        <w:t>如存在</w:t>
      </w:r>
      <w:r>
        <w:rPr>
          <w:color w:val="auto"/>
        </w:rPr>
        <w:t>剩余的</w:t>
      </w:r>
      <w:r>
        <w:rPr>
          <w:rFonts w:hint="eastAsia"/>
          <w:color w:val="auto"/>
        </w:rPr>
        <w:t>上述</w:t>
      </w:r>
      <w:r>
        <w:rPr>
          <w:color w:val="auto"/>
        </w:rPr>
        <w:t>生产物料</w:t>
      </w:r>
      <w:r>
        <w:rPr>
          <w:rFonts w:hint="eastAsia"/>
          <w:color w:val="auto"/>
        </w:rPr>
        <w:t>和</w:t>
      </w:r>
      <w:r>
        <w:rPr>
          <w:color w:val="auto"/>
        </w:rPr>
        <w:t>催化剂</w:t>
      </w:r>
      <w:r>
        <w:rPr>
          <w:rFonts w:hint="eastAsia"/>
          <w:color w:val="auto"/>
        </w:rPr>
        <w:t>，</w:t>
      </w:r>
      <w:r>
        <w:rPr>
          <w:rFonts w:hint="eastAsia"/>
          <w:color w:val="auto"/>
          <w:lang w:val="en-US" w:eastAsia="zh-CN"/>
        </w:rPr>
        <w:t>企业</w:t>
      </w:r>
      <w:r>
        <w:rPr>
          <w:rFonts w:hint="eastAsia"/>
          <w:color w:val="auto"/>
        </w:rPr>
        <w:t>按照自身</w:t>
      </w:r>
      <w:r>
        <w:rPr>
          <w:color w:val="auto"/>
        </w:rPr>
        <w:t>相关</w:t>
      </w:r>
      <w:r>
        <w:rPr>
          <w:rFonts w:hint="eastAsia"/>
          <w:color w:val="auto"/>
        </w:rPr>
        <w:t>生产经</w:t>
      </w:r>
      <w:r>
        <w:rPr>
          <w:color w:val="auto"/>
        </w:rPr>
        <w:t>营</w:t>
      </w:r>
      <w:r>
        <w:rPr>
          <w:rFonts w:hint="eastAsia"/>
          <w:color w:val="auto"/>
        </w:rPr>
        <w:t>资质，以及</w:t>
      </w:r>
      <w:r>
        <w:rPr>
          <w:color w:val="auto"/>
        </w:rPr>
        <w:t>环境</w:t>
      </w:r>
      <w:r>
        <w:rPr>
          <w:rFonts w:hint="eastAsia"/>
          <w:color w:val="auto"/>
        </w:rPr>
        <w:t>、</w:t>
      </w:r>
      <w:r>
        <w:rPr>
          <w:color w:val="auto"/>
        </w:rPr>
        <w:t>安全管理的法律法规要求</w:t>
      </w:r>
      <w:r>
        <w:rPr>
          <w:rFonts w:hint="eastAsia"/>
          <w:color w:val="auto"/>
        </w:rPr>
        <w:t>，明确</w:t>
      </w:r>
      <w:r>
        <w:rPr>
          <w:color w:val="auto"/>
        </w:rPr>
        <w:t>危险化学品的</w:t>
      </w:r>
      <w:r>
        <w:rPr>
          <w:rFonts w:hint="eastAsia"/>
          <w:color w:val="auto"/>
        </w:rPr>
        <w:t>危害</w:t>
      </w:r>
      <w:r>
        <w:rPr>
          <w:color w:val="auto"/>
        </w:rPr>
        <w:t>特性及处置途径，具体</w:t>
      </w:r>
      <w:r>
        <w:rPr>
          <w:rFonts w:hint="eastAsia"/>
          <w:color w:val="auto"/>
          <w:highlight w:val="none"/>
        </w:rPr>
        <w:t>参照</w:t>
      </w:r>
      <w:r>
        <w:rPr>
          <w:color w:val="auto"/>
          <w:highlight w:val="none"/>
        </w:rPr>
        <w:t>表</w:t>
      </w:r>
      <w:r>
        <w:rPr>
          <w:rFonts w:hint="eastAsia"/>
          <w:color w:val="auto"/>
          <w:highlight w:val="none"/>
        </w:rPr>
        <w:t>4</w:t>
      </w:r>
      <w:r>
        <w:rPr>
          <w:rFonts w:hint="eastAsia"/>
          <w:color w:val="auto"/>
          <w:highlight w:val="none"/>
          <w:lang w:val="en-US" w:eastAsia="zh-CN"/>
        </w:rPr>
        <w:t>.1</w:t>
      </w:r>
      <w:r>
        <w:rPr>
          <w:color w:val="auto"/>
          <w:highlight w:val="none"/>
        </w:rPr>
        <w:t>-</w:t>
      </w:r>
      <w:r>
        <w:rPr>
          <w:rFonts w:hint="eastAsia"/>
          <w:color w:val="auto"/>
          <w:highlight w:val="none"/>
          <w:lang w:val="en-US" w:eastAsia="zh-CN"/>
        </w:rPr>
        <w:t>3</w:t>
      </w:r>
      <w:r>
        <w:rPr>
          <w:rFonts w:hint="eastAsia"/>
          <w:color w:val="auto"/>
          <w:highlight w:val="none"/>
        </w:rPr>
        <w:t>。</w:t>
      </w:r>
    </w:p>
    <w:p w14:paraId="1AF7B616">
      <w:pPr>
        <w:bidi w:val="0"/>
        <w:rPr>
          <w:rFonts w:hint="default"/>
          <w:color w:val="auto"/>
        </w:rPr>
      </w:pPr>
      <w:r>
        <w:rPr>
          <w:rFonts w:hint="eastAsia"/>
          <w:color w:val="auto"/>
        </w:rPr>
        <w:t>本项目HCFC-</w:t>
      </w:r>
      <w:r>
        <w:rPr>
          <w:rFonts w:hint="eastAsia"/>
          <w:color w:val="auto"/>
          <w:lang w:val="en-US" w:eastAsia="zh-CN"/>
        </w:rPr>
        <w:t>141b</w:t>
      </w:r>
      <w:r>
        <w:rPr>
          <w:rFonts w:hint="eastAsia"/>
          <w:color w:val="auto"/>
        </w:rPr>
        <w:t>物料</w:t>
      </w:r>
      <w:r>
        <w:rPr>
          <w:color w:val="auto"/>
        </w:rPr>
        <w:t>转移</w:t>
      </w:r>
      <w:r>
        <w:rPr>
          <w:rFonts w:hint="eastAsia"/>
          <w:color w:val="auto"/>
        </w:rPr>
        <w:t>工作</w:t>
      </w:r>
      <w:r>
        <w:rPr>
          <w:color w:val="auto"/>
        </w:rPr>
        <w:t>时</w:t>
      </w:r>
      <w:r>
        <w:rPr>
          <w:rFonts w:hint="eastAsia"/>
          <w:color w:val="auto"/>
        </w:rPr>
        <w:t>应根据</w:t>
      </w:r>
      <w:r>
        <w:rPr>
          <w:rFonts w:hint="eastAsia"/>
          <w:color w:val="auto"/>
          <w:lang w:val="en-US" w:eastAsia="zh-CN"/>
        </w:rPr>
        <w:t>企业</w:t>
      </w:r>
      <w:r>
        <w:rPr>
          <w:rFonts w:hint="eastAsia"/>
          <w:color w:val="auto"/>
        </w:rPr>
        <w:t>的环境保护管理制度、安全规章制度进行规范</w:t>
      </w:r>
      <w:r>
        <w:rPr>
          <w:color w:val="auto"/>
        </w:rPr>
        <w:t>操作，一并注意环境、健康和安全问题</w:t>
      </w:r>
      <w:r>
        <w:rPr>
          <w:rFonts w:hint="eastAsia"/>
          <w:color w:val="auto"/>
        </w:rPr>
        <w:t>。</w:t>
      </w:r>
      <w:r>
        <w:rPr>
          <w:rFonts w:hint="eastAsia"/>
          <w:color w:val="auto"/>
          <w:lang w:val="en-US" w:eastAsia="zh-CN"/>
        </w:rPr>
        <w:t>企业</w:t>
      </w:r>
      <w:r>
        <w:rPr>
          <w:rFonts w:hint="eastAsia"/>
          <w:color w:val="auto"/>
        </w:rPr>
        <w:t>指派</w:t>
      </w:r>
      <w:r>
        <w:rPr>
          <w:color w:val="auto"/>
        </w:rPr>
        <w:t>的</w:t>
      </w:r>
      <w:r>
        <w:rPr>
          <w:rFonts w:hint="eastAsia"/>
          <w:color w:val="auto"/>
        </w:rPr>
        <w:t>现场环境经理、承包商和现场工作人员应了解</w:t>
      </w:r>
      <w:r>
        <w:rPr>
          <w:color w:val="auto"/>
        </w:rPr>
        <w:t>相关危险化学品的</w:t>
      </w:r>
      <w:r>
        <w:rPr>
          <w:rFonts w:hint="eastAsia"/>
          <w:color w:val="auto"/>
        </w:rPr>
        <w:t>充装</w:t>
      </w:r>
      <w:r>
        <w:rPr>
          <w:color w:val="auto"/>
        </w:rPr>
        <w:t>、运输操作</w:t>
      </w:r>
      <w:r>
        <w:rPr>
          <w:rFonts w:hint="eastAsia"/>
          <w:color w:val="auto"/>
        </w:rPr>
        <w:t>方法</w:t>
      </w:r>
      <w:r>
        <w:rPr>
          <w:color w:val="auto"/>
        </w:rPr>
        <w:t>，</w:t>
      </w:r>
      <w:r>
        <w:rPr>
          <w:rFonts w:hint="eastAsia"/>
          <w:color w:val="auto"/>
        </w:rPr>
        <w:t>并应熟悉下列</w:t>
      </w:r>
      <w:r>
        <w:rPr>
          <w:color w:val="auto"/>
        </w:rPr>
        <w:t>危险化学品的</w:t>
      </w:r>
      <w:r>
        <w:rPr>
          <w:rFonts w:hint="eastAsia"/>
          <w:color w:val="auto"/>
        </w:rPr>
        <w:t>在装卸</w:t>
      </w:r>
      <w:r>
        <w:rPr>
          <w:color w:val="auto"/>
        </w:rPr>
        <w:t>、转移</w:t>
      </w:r>
      <w:r>
        <w:rPr>
          <w:rFonts w:hint="eastAsia"/>
          <w:color w:val="auto"/>
        </w:rPr>
        <w:t>时</w:t>
      </w:r>
      <w:r>
        <w:rPr>
          <w:color w:val="auto"/>
        </w:rPr>
        <w:t>的相关</w:t>
      </w:r>
      <w:r>
        <w:rPr>
          <w:rFonts w:hint="eastAsia"/>
          <w:color w:val="auto"/>
        </w:rPr>
        <w:t>注意</w:t>
      </w:r>
      <w:r>
        <w:rPr>
          <w:color w:val="auto"/>
        </w:rPr>
        <w:t>事项</w:t>
      </w:r>
      <w:r>
        <w:rPr>
          <w:rFonts w:hint="eastAsia"/>
          <w:color w:val="auto"/>
        </w:rPr>
        <w:t>：</w:t>
      </w:r>
    </w:p>
    <w:p w14:paraId="6DADA3CF">
      <w:pPr>
        <w:ind w:firstLineChars="0"/>
        <w:rPr>
          <w:b/>
          <w:color w:val="auto"/>
          <w:u w:val="single"/>
        </w:rPr>
      </w:pPr>
      <w:r>
        <w:rPr>
          <w:rFonts w:hint="eastAsia"/>
          <w:b/>
          <w:color w:val="auto"/>
          <w:u w:val="single"/>
        </w:rPr>
        <w:t>无水氟化氢：</w:t>
      </w:r>
    </w:p>
    <w:p w14:paraId="5D1757F8">
      <w:pPr>
        <w:bidi w:val="0"/>
        <w:rPr>
          <w:color w:val="auto"/>
        </w:rPr>
      </w:pPr>
      <w:r>
        <w:rPr>
          <w:rFonts w:hint="eastAsia"/>
          <w:color w:val="auto"/>
          <w:lang w:val="en-US" w:eastAsia="zh-CN"/>
        </w:rPr>
        <w:t>1、</w:t>
      </w:r>
      <w:r>
        <w:rPr>
          <w:rFonts w:hint="eastAsia"/>
          <w:color w:val="auto"/>
        </w:rPr>
        <w:t>个人</w:t>
      </w:r>
      <w:r>
        <w:rPr>
          <w:color w:val="auto"/>
        </w:rPr>
        <w:t>防护：</w:t>
      </w:r>
      <w:r>
        <w:rPr>
          <w:rFonts w:hint="eastAsia"/>
          <w:color w:val="auto"/>
        </w:rPr>
        <w:t>穿戴</w:t>
      </w:r>
      <w:r>
        <w:rPr>
          <w:color w:val="auto"/>
        </w:rPr>
        <w:t>橡胶</w:t>
      </w:r>
      <w:r>
        <w:rPr>
          <w:rFonts w:hint="eastAsia"/>
          <w:color w:val="auto"/>
        </w:rPr>
        <w:t>耐</w:t>
      </w:r>
      <w:r>
        <w:rPr>
          <w:color w:val="auto"/>
        </w:rPr>
        <w:t>酸碱服</w:t>
      </w:r>
      <w:r>
        <w:rPr>
          <w:rFonts w:hint="eastAsia"/>
          <w:color w:val="auto"/>
        </w:rPr>
        <w:t>、耐</w:t>
      </w:r>
      <w:r>
        <w:rPr>
          <w:color w:val="auto"/>
        </w:rPr>
        <w:t>酸碱手套，如果</w:t>
      </w:r>
      <w:r>
        <w:rPr>
          <w:rFonts w:hint="eastAsia"/>
          <w:color w:val="auto"/>
        </w:rPr>
        <w:t>可能接触其烟雾时，佩戴自吸过滤式防毒面具（全面罩）或空气呼吸器，紧急事态抢救或撤离时，建议佩戴氧气呼吸器；</w:t>
      </w:r>
    </w:p>
    <w:p w14:paraId="18B03FD0">
      <w:pPr>
        <w:bidi w:val="0"/>
        <w:rPr>
          <w:color w:val="auto"/>
        </w:rPr>
      </w:pPr>
      <w:r>
        <w:rPr>
          <w:rFonts w:hint="eastAsia"/>
          <w:color w:val="auto"/>
          <w:lang w:val="en-US" w:eastAsia="zh-CN"/>
        </w:rPr>
        <w:t>2、</w:t>
      </w:r>
      <w:r>
        <w:rPr>
          <w:rFonts w:hint="eastAsia"/>
          <w:color w:val="auto"/>
        </w:rPr>
        <w:t>操作</w:t>
      </w:r>
      <w:r>
        <w:rPr>
          <w:color w:val="auto"/>
        </w:rPr>
        <w:t>注意事项：</w:t>
      </w:r>
    </w:p>
    <w:p w14:paraId="1022DBAF">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密闭操作，注意通风，操作尽可能机械化、自动化。操作人员必须经过专门培训，严格遵守操作规程；</w:t>
      </w:r>
    </w:p>
    <w:p w14:paraId="403CDA0E">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储存于阴凉、通风的库房，远离火种、热源。库温不宜超过30℃，应与易（可）燃物、食用化学品分开存放，切忌混储</w:t>
      </w:r>
      <w:r>
        <w:rPr>
          <w:color w:val="auto"/>
        </w:rPr>
        <w:t>；</w:t>
      </w:r>
    </w:p>
    <w:p w14:paraId="2C304654">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远离易燃、可燃物，搬运时轻装轻卸，防止钢瓶及附件破损；</w:t>
      </w:r>
    </w:p>
    <w:p w14:paraId="5A6DDEA9">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配备泄漏应急处理设备，倒空的容器可能残留有害物；</w:t>
      </w:r>
    </w:p>
    <w:p w14:paraId="67B7A4C0">
      <w:pPr>
        <w:bidi w:val="0"/>
        <w:rPr>
          <w:color w:val="auto"/>
        </w:rPr>
      </w:pPr>
      <w:r>
        <w:rPr>
          <w:rFonts w:hint="eastAsia"/>
          <w:color w:val="auto"/>
          <w:lang w:val="en-US" w:eastAsia="zh-CN"/>
        </w:rPr>
        <w:t>3、</w:t>
      </w:r>
      <w:r>
        <w:rPr>
          <w:rFonts w:hint="eastAsia"/>
          <w:color w:val="auto"/>
        </w:rPr>
        <w:t>泄漏</w:t>
      </w:r>
      <w:r>
        <w:rPr>
          <w:color w:val="auto"/>
        </w:rPr>
        <w:t>处置方法：</w:t>
      </w:r>
    </w:p>
    <w:p w14:paraId="41D137CC">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小量泄漏：合理通风，加速扩散，喷氨水或其它稀碱液中和，构筑围堤或挖坑收容产生的大量废水；</w:t>
      </w:r>
    </w:p>
    <w:p w14:paraId="25D0CF0C">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大量泄漏：构筑围堤或挖坑收容，用泵转移至槽车或专用收集器内，回收或运至废物处理场所处置。</w:t>
      </w:r>
    </w:p>
    <w:p w14:paraId="07CC7942">
      <w:pPr>
        <w:ind w:left="480" w:firstLine="0" w:firstLineChars="0"/>
        <w:rPr>
          <w:b/>
          <w:color w:val="auto"/>
          <w:u w:val="single"/>
        </w:rPr>
      </w:pPr>
      <w:r>
        <w:rPr>
          <w:rFonts w:hint="eastAsia"/>
          <w:b/>
          <w:color w:val="auto"/>
          <w:u w:val="single"/>
        </w:rPr>
        <w:t>液碱：</w:t>
      </w:r>
    </w:p>
    <w:p w14:paraId="66A69DB2">
      <w:pPr>
        <w:bidi w:val="0"/>
        <w:rPr>
          <w:color w:val="auto"/>
        </w:rPr>
      </w:pPr>
      <w:r>
        <w:rPr>
          <w:rFonts w:hint="eastAsia"/>
          <w:color w:val="auto"/>
          <w:lang w:val="en-US" w:eastAsia="zh-CN"/>
        </w:rPr>
        <w:t>1、</w:t>
      </w:r>
      <w:r>
        <w:rPr>
          <w:rFonts w:hint="eastAsia"/>
          <w:color w:val="auto"/>
        </w:rPr>
        <w:t>个人防护</w:t>
      </w:r>
      <w:r>
        <w:rPr>
          <w:color w:val="auto"/>
        </w:rPr>
        <w:t>：</w:t>
      </w:r>
      <w:r>
        <w:rPr>
          <w:rFonts w:hint="eastAsia"/>
          <w:color w:val="auto"/>
        </w:rPr>
        <w:t>操作人员应佩戴头罩型电动送风过滤式防尘呼吸器，穿橡胶耐酸碱服，戴橡胶耐酸碱手套；</w:t>
      </w:r>
    </w:p>
    <w:p w14:paraId="7441D6A5">
      <w:pPr>
        <w:bidi w:val="0"/>
        <w:rPr>
          <w:color w:val="auto"/>
        </w:rPr>
      </w:pPr>
      <w:r>
        <w:rPr>
          <w:rFonts w:hint="eastAsia"/>
          <w:color w:val="auto"/>
          <w:lang w:val="en-US" w:eastAsia="zh-CN"/>
        </w:rPr>
        <w:t>2、</w:t>
      </w:r>
      <w:r>
        <w:rPr>
          <w:rFonts w:hint="eastAsia"/>
          <w:color w:val="auto"/>
        </w:rPr>
        <w:t>操作注意事项</w:t>
      </w:r>
      <w:r>
        <w:rPr>
          <w:color w:val="auto"/>
        </w:rPr>
        <w:t>：</w:t>
      </w:r>
    </w:p>
    <w:p w14:paraId="7FEFFA42">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操作时</w:t>
      </w:r>
      <w:r>
        <w:rPr>
          <w:color w:val="auto"/>
        </w:rPr>
        <w:t>应</w:t>
      </w:r>
      <w:r>
        <w:rPr>
          <w:rFonts w:hint="eastAsia"/>
          <w:color w:val="auto"/>
        </w:rPr>
        <w:t>远离易燃、可燃物，避免产生粉尘，避免与酸类接触；</w:t>
      </w:r>
    </w:p>
    <w:p w14:paraId="7A033FBF">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氢氧化钠不会燃烧</w:t>
      </w:r>
      <w:r>
        <w:rPr>
          <w:color w:val="auto"/>
        </w:rPr>
        <w:t>，</w:t>
      </w:r>
      <w:r>
        <w:rPr>
          <w:rFonts w:hint="eastAsia"/>
          <w:color w:val="auto"/>
        </w:rPr>
        <w:t>遇水和水蒸气大量放热</w:t>
      </w:r>
      <w:r>
        <w:rPr>
          <w:color w:val="auto"/>
        </w:rPr>
        <w:t>，</w:t>
      </w:r>
      <w:r>
        <w:rPr>
          <w:rFonts w:hint="eastAsia"/>
          <w:color w:val="auto"/>
        </w:rPr>
        <w:t>形成腐蚀性溶液，涉及到灭火时用水、砂土扑救，但须防止遇水产生飞溅，造成灼伤；</w:t>
      </w:r>
    </w:p>
    <w:p w14:paraId="420D61ED">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搬运时要轻装轻卸，防止包装及容器损坏；</w:t>
      </w:r>
    </w:p>
    <w:p w14:paraId="5012BD2C">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液碱用槽车或贮槽装运；</w:t>
      </w:r>
    </w:p>
    <w:p w14:paraId="78EBA00C">
      <w:pPr>
        <w:bidi w:val="0"/>
        <w:rPr>
          <w:color w:val="auto"/>
        </w:rPr>
      </w:pPr>
      <w:r>
        <w:rPr>
          <w:rFonts w:hint="eastAsia"/>
          <w:color w:val="auto"/>
          <w:lang w:val="en-US" w:eastAsia="zh-CN"/>
        </w:rPr>
        <w:t>3</w:t>
      </w:r>
      <w:r>
        <w:rPr>
          <w:rFonts w:hint="eastAsia"/>
          <w:color w:val="auto"/>
          <w:lang w:eastAsia="zh-CN"/>
        </w:rPr>
        <w:t>、</w:t>
      </w:r>
      <w:r>
        <w:rPr>
          <w:rFonts w:hint="eastAsia"/>
          <w:color w:val="auto"/>
        </w:rPr>
        <w:t>泄漏</w:t>
      </w:r>
      <w:r>
        <w:rPr>
          <w:color w:val="auto"/>
        </w:rPr>
        <w:t>处置方法：</w:t>
      </w:r>
    </w:p>
    <w:p w14:paraId="56F794DC">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如发生小量泄漏，可用大量水冲洗，洗水稀释后进入废水系统；</w:t>
      </w:r>
    </w:p>
    <w:p w14:paraId="1F69C93E">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如</w:t>
      </w:r>
      <w:r>
        <w:rPr>
          <w:color w:val="auto"/>
        </w:rPr>
        <w:t>发生</w:t>
      </w:r>
      <w:r>
        <w:rPr>
          <w:rFonts w:hint="eastAsia"/>
          <w:color w:val="auto"/>
        </w:rPr>
        <w:t>大量泄漏，应收集回收并作为危险废物</w:t>
      </w:r>
      <w:r>
        <w:rPr>
          <w:color w:val="auto"/>
        </w:rPr>
        <w:t>处置</w:t>
      </w:r>
      <w:r>
        <w:rPr>
          <w:rFonts w:hint="eastAsia"/>
          <w:color w:val="auto"/>
        </w:rPr>
        <w:t>。</w:t>
      </w:r>
    </w:p>
    <w:p w14:paraId="2E7178DB">
      <w:pPr>
        <w:ind w:left="480" w:firstLine="0" w:firstLineChars="0"/>
        <w:rPr>
          <w:rFonts w:cs="Times New Roman"/>
          <w:b/>
          <w:bCs/>
          <w:color w:val="auto"/>
          <w:u w:val="single"/>
        </w:rPr>
      </w:pPr>
      <w:r>
        <w:rPr>
          <w:rFonts w:cs="Arial"/>
          <w:b/>
          <w:bCs/>
          <w:color w:val="auto"/>
          <w:szCs w:val="28"/>
          <w:u w:val="single"/>
        </w:rPr>
        <w:t>1,1-二氯-1-氟乙烷</w:t>
      </w:r>
      <w:r>
        <w:rPr>
          <w:rFonts w:cs="Times New Roman"/>
          <w:b/>
          <w:bCs/>
          <w:color w:val="auto"/>
          <w:u w:val="single"/>
        </w:rPr>
        <w:t>（HCFC-141b）</w:t>
      </w:r>
    </w:p>
    <w:p w14:paraId="3AA69B1B">
      <w:pPr>
        <w:bidi w:val="0"/>
        <w:rPr>
          <w:color w:val="auto"/>
        </w:rPr>
      </w:pPr>
      <w:r>
        <w:rPr>
          <w:rFonts w:hint="eastAsia"/>
          <w:color w:val="auto"/>
          <w:lang w:val="en-US" w:eastAsia="zh-CN"/>
        </w:rPr>
        <w:t>1、</w:t>
      </w:r>
      <w:r>
        <w:rPr>
          <w:color w:val="auto"/>
        </w:rPr>
        <w:t>操作时使本品远离易燃、可燃物，防止气体泄漏到工作场所空气中，避免与氧化剂接触；</w:t>
      </w:r>
    </w:p>
    <w:p w14:paraId="5F0BEC8D">
      <w:pPr>
        <w:bidi w:val="0"/>
        <w:rPr>
          <w:color w:val="auto"/>
        </w:rPr>
      </w:pPr>
      <w:r>
        <w:rPr>
          <w:rFonts w:hint="eastAsia"/>
          <w:color w:val="auto"/>
          <w:lang w:val="en-US" w:eastAsia="zh-CN"/>
        </w:rPr>
        <w:t>2、</w:t>
      </w:r>
      <w:r>
        <w:rPr>
          <w:color w:val="auto"/>
        </w:rPr>
        <w:t>当现场工作人员吸入迅速脱离现场至空气新鲜处，保持呼吸道通畅；</w:t>
      </w:r>
    </w:p>
    <w:p w14:paraId="5D75B2DA">
      <w:pPr>
        <w:bidi w:val="0"/>
        <w:rPr>
          <w:color w:val="auto"/>
        </w:rPr>
      </w:pPr>
      <w:r>
        <w:rPr>
          <w:color w:val="auto"/>
        </w:rPr>
        <w:t>避免本品附近存在热源，若遇高热，容器内压增大，有开裂和爆炸的危险，产生有害燃烧产物一氧化碳、二氧化碳、氟化氢；</w:t>
      </w:r>
    </w:p>
    <w:p w14:paraId="3A9FC5D9">
      <w:pPr>
        <w:bidi w:val="0"/>
        <w:rPr>
          <w:color w:val="auto"/>
        </w:rPr>
      </w:pPr>
      <w:r>
        <w:rPr>
          <w:rFonts w:hint="eastAsia"/>
          <w:color w:val="auto"/>
          <w:lang w:val="en-US" w:eastAsia="zh-CN"/>
        </w:rPr>
        <w:t>3、</w:t>
      </w:r>
      <w:r>
        <w:rPr>
          <w:color w:val="auto"/>
        </w:rPr>
        <w:t>如发生火灾，切断气源，喷水冷却容器，可能的话将容器从火场移至厂区空旷处；</w:t>
      </w:r>
    </w:p>
    <w:p w14:paraId="40FD1D48">
      <w:pPr>
        <w:bidi w:val="0"/>
        <w:rPr>
          <w:color w:val="auto"/>
        </w:rPr>
      </w:pPr>
      <w:r>
        <w:rPr>
          <w:rFonts w:hint="eastAsia"/>
          <w:color w:val="auto"/>
          <w:lang w:val="en-US" w:eastAsia="zh-CN"/>
        </w:rPr>
        <w:t>4、</w:t>
      </w:r>
      <w:r>
        <w:rPr>
          <w:color w:val="auto"/>
        </w:rPr>
        <w:t>运输时的包装采用钢质气瓶；</w:t>
      </w:r>
    </w:p>
    <w:p w14:paraId="45D6753B">
      <w:pPr>
        <w:bidi w:val="0"/>
        <w:rPr>
          <w:rFonts w:hint="default"/>
          <w:color w:val="auto"/>
        </w:rPr>
      </w:pPr>
      <w:r>
        <w:rPr>
          <w:rFonts w:hint="eastAsia"/>
          <w:color w:val="auto"/>
          <w:lang w:val="en-US" w:eastAsia="zh-CN"/>
        </w:rPr>
        <w:t>5、</w:t>
      </w:r>
      <w:r>
        <w:rPr>
          <w:color w:val="auto"/>
        </w:rPr>
        <w:t>运输期间操作人员必须戴好钢瓶上的安全帽，钢瓶一般平放，并应将瓶口朝同一方向，不可交叉且高度不得超过车辆的防护栏板，并用三角木垫卡牢，防止滚动，严禁与易燃物或可燃物、氧化剂等混装混运，防止日光曝晒，铁路运输时禁止溜放。</w:t>
      </w:r>
    </w:p>
    <w:p w14:paraId="511734BD">
      <w:pPr>
        <w:bidi w:val="0"/>
        <w:ind w:left="0" w:leftChars="0" w:firstLine="482" w:firstLineChars="200"/>
        <w:rPr>
          <w:b/>
          <w:bCs/>
          <w:color w:val="auto"/>
          <w:u w:val="single"/>
        </w:rPr>
      </w:pPr>
      <w:r>
        <w:rPr>
          <w:b/>
          <w:bCs/>
          <w:color w:val="auto"/>
          <w:u w:val="single"/>
        </w:rPr>
        <w:t>偏</w:t>
      </w:r>
      <w:r>
        <w:rPr>
          <w:rFonts w:hint="eastAsia"/>
          <w:b/>
          <w:bCs/>
          <w:color w:val="auto"/>
          <w:u w:val="single"/>
          <w:lang w:val="en-US" w:eastAsia="zh-CN"/>
        </w:rPr>
        <w:t>二</w:t>
      </w:r>
      <w:r>
        <w:rPr>
          <w:b/>
          <w:bCs/>
          <w:color w:val="auto"/>
          <w:u w:val="single"/>
        </w:rPr>
        <w:t>氯乙烯</w:t>
      </w:r>
    </w:p>
    <w:p w14:paraId="2B8932B1">
      <w:pPr>
        <w:bidi w:val="0"/>
        <w:rPr>
          <w:rFonts w:hint="default"/>
          <w:color w:val="auto"/>
        </w:rPr>
      </w:pPr>
      <w:r>
        <w:rPr>
          <w:rFonts w:hint="eastAsia"/>
          <w:color w:val="auto"/>
          <w:lang w:val="en-US" w:eastAsia="zh-CN"/>
        </w:rPr>
        <w:t>1、</w:t>
      </w:r>
      <w:r>
        <w:rPr>
          <w:rFonts w:hint="eastAsia"/>
          <w:color w:val="auto"/>
        </w:rPr>
        <w:t>个人防护</w:t>
      </w:r>
      <w:r>
        <w:rPr>
          <w:color w:val="auto"/>
        </w:rPr>
        <w:t>：</w:t>
      </w:r>
      <w:r>
        <w:rPr>
          <w:rFonts w:hint="eastAsia"/>
          <w:color w:val="auto"/>
          <w:lang w:eastAsia="zh-CN"/>
        </w:rPr>
        <w:t>：</w:t>
      </w:r>
      <w:r>
        <w:rPr>
          <w:rFonts w:hint="default"/>
          <w:color w:val="auto"/>
        </w:rPr>
        <w:t>空气中浓度超标时，应该佩戴过滤式防毒面具(半面罩)。紧急事态抢救或撤离时，佩戴隔离式呼吸器。戴化学安全防护眼镜。穿防静电工作服。戴橡胶耐油手套。</w:t>
      </w:r>
    </w:p>
    <w:p w14:paraId="45863D6D">
      <w:pPr>
        <w:pStyle w:val="28"/>
        <w:rPr>
          <w:color w:val="auto"/>
        </w:rPr>
      </w:pPr>
      <w:r>
        <w:rPr>
          <w:rFonts w:hint="eastAsia"/>
          <w:color w:val="auto"/>
          <w:lang w:val="en-US" w:eastAsia="zh-CN"/>
        </w:rPr>
        <w:t>2、</w:t>
      </w:r>
      <w:r>
        <w:rPr>
          <w:rFonts w:hint="eastAsia"/>
          <w:color w:val="auto"/>
        </w:rPr>
        <w:t>操作注意事项</w:t>
      </w:r>
      <w:r>
        <w:rPr>
          <w:color w:val="auto"/>
        </w:rPr>
        <w:t>：</w:t>
      </w:r>
    </w:p>
    <w:p w14:paraId="47D89F1A">
      <w:pPr>
        <w:tabs>
          <w:tab w:val="left" w:pos="5280"/>
        </w:tabs>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密闭操作，局部排风。</w:t>
      </w:r>
    </w:p>
    <w:p w14:paraId="1903403A">
      <w:pPr>
        <w:tabs>
          <w:tab w:val="left" w:pos="5280"/>
        </w:tabs>
        <w:bidi w:val="0"/>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远离火种、</w:t>
      </w:r>
      <w:r>
        <w:rPr>
          <w:rFonts w:hint="default"/>
          <w:color w:val="auto"/>
        </w:rPr>
        <w:fldChar w:fldCharType="begin"/>
      </w:r>
      <w:r>
        <w:rPr>
          <w:rFonts w:hint="default"/>
          <w:color w:val="auto"/>
        </w:rPr>
        <w:instrText xml:space="preserve"> HYPERLINK "https://baike.so.com/doc/5880117-6092992.html" \t "https://baike.so.com/doc/_blank" </w:instrText>
      </w:r>
      <w:r>
        <w:rPr>
          <w:rFonts w:hint="default"/>
          <w:color w:val="auto"/>
        </w:rPr>
        <w:fldChar w:fldCharType="separate"/>
      </w:r>
      <w:r>
        <w:rPr>
          <w:rStyle w:val="32"/>
          <w:rFonts w:hint="default" w:ascii="Arial" w:hAnsi="Arial" w:eastAsia="宋体" w:cs="Arial"/>
          <w:i w:val="0"/>
          <w:iCs w:val="0"/>
          <w:caps w:val="0"/>
          <w:color w:val="auto"/>
          <w:spacing w:val="0"/>
          <w:szCs w:val="21"/>
          <w:u w:val="none"/>
          <w:shd w:val="clear" w:fill="FFFFFF"/>
        </w:rPr>
        <w:t>热源</w:t>
      </w:r>
      <w:r>
        <w:rPr>
          <w:rFonts w:hint="default"/>
          <w:color w:val="auto"/>
        </w:rPr>
        <w:fldChar w:fldCharType="end"/>
      </w:r>
      <w:r>
        <w:rPr>
          <w:rFonts w:hint="default"/>
          <w:color w:val="auto"/>
        </w:rPr>
        <w:t>，工作场所严禁吸烟。</w:t>
      </w:r>
    </w:p>
    <w:p w14:paraId="6F75EC42">
      <w:pPr>
        <w:tabs>
          <w:tab w:val="left" w:pos="5280"/>
        </w:tabs>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使用防爆型的通风系统和设备。</w:t>
      </w:r>
    </w:p>
    <w:p w14:paraId="63B22385">
      <w:pPr>
        <w:tabs>
          <w:tab w:val="left" w:pos="5280"/>
        </w:tabs>
        <w:bidi w:val="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防止蒸气泄漏到工作场所空气中。</w:t>
      </w:r>
    </w:p>
    <w:p w14:paraId="25DDF071">
      <w:pPr>
        <w:bidi w:val="0"/>
        <w:rPr>
          <w:rFonts w:hint="default"/>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default"/>
          <w:color w:val="auto"/>
        </w:rPr>
        <w:t>避免与氧化剂、酸类、碱类接触。</w:t>
      </w:r>
    </w:p>
    <w:p w14:paraId="40BC9F86">
      <w:pPr>
        <w:bidi w:val="0"/>
        <w:rPr>
          <w:rFonts w:hint="default"/>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灌装时应控制流速，且有接地装置，防止静电积聚。</w:t>
      </w:r>
    </w:p>
    <w:p w14:paraId="35DB26A3">
      <w:pPr>
        <w:bidi w:val="0"/>
        <w:rPr>
          <w:rFonts w:hint="default"/>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rFonts w:hint="default"/>
          <w:color w:val="auto"/>
        </w:rPr>
        <w:t>搬运时要轻装轻卸，防止包装及容器损坏。</w:t>
      </w:r>
    </w:p>
    <w:p w14:paraId="726C4377">
      <w:pPr>
        <w:bidi w:val="0"/>
        <w:rPr>
          <w:rFonts w:hint="default"/>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rFonts w:hint="default"/>
          <w:color w:val="auto"/>
        </w:rPr>
        <w:t>配备相应品种和数量的消防器材及泄漏应急处理设备。倒空的容器可能残留有害物。</w:t>
      </w:r>
    </w:p>
    <w:p w14:paraId="582393F9">
      <w:pPr>
        <w:bidi w:val="0"/>
        <w:rPr>
          <w:color w:val="auto"/>
        </w:rPr>
      </w:pPr>
      <w:r>
        <w:rPr>
          <w:rFonts w:hint="eastAsia"/>
          <w:color w:val="auto"/>
          <w:lang w:val="en-US" w:eastAsia="zh-CN"/>
        </w:rPr>
        <w:t>3</w:t>
      </w:r>
      <w:r>
        <w:rPr>
          <w:rFonts w:hint="eastAsia"/>
          <w:color w:val="auto"/>
          <w:lang w:eastAsia="zh-CN"/>
        </w:rPr>
        <w:t>、</w:t>
      </w:r>
      <w:r>
        <w:rPr>
          <w:rFonts w:hint="eastAsia"/>
          <w:color w:val="auto"/>
        </w:rPr>
        <w:t>泄漏</w:t>
      </w:r>
      <w:r>
        <w:rPr>
          <w:color w:val="auto"/>
        </w:rPr>
        <w:t>处置方法：</w:t>
      </w:r>
    </w:p>
    <w:p w14:paraId="125B1C17">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小量泄漏</w:t>
      </w:r>
      <w:r>
        <w:rPr>
          <w:rFonts w:hint="eastAsia"/>
          <w:color w:val="auto"/>
          <w:lang w:eastAsia="zh-CN"/>
        </w:rPr>
        <w:t>：</w:t>
      </w:r>
      <w:r>
        <w:rPr>
          <w:color w:val="auto"/>
        </w:rPr>
        <w:t>用砂土或其它不燃材料吸附或吸收。也可以用不燃性分散剂制成的乳液刷洗，洗液稀释后放入废水系统。</w:t>
      </w:r>
    </w:p>
    <w:p w14:paraId="39AF5FE4">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大量泄漏</w:t>
      </w:r>
      <w:r>
        <w:rPr>
          <w:rFonts w:hint="eastAsia"/>
          <w:color w:val="auto"/>
          <w:lang w:eastAsia="zh-CN"/>
        </w:rPr>
        <w:t>：</w:t>
      </w:r>
      <w:r>
        <w:rPr>
          <w:color w:val="auto"/>
        </w:rPr>
        <w:t>构筑围堤或挖坑收容。用泡沫覆盖，降低蒸气灾害。用防爆泵转移至槽车或专用收集器内，回收或运至废物处理场所处置。</w:t>
      </w:r>
    </w:p>
    <w:p w14:paraId="34AA21F7">
      <w:pPr>
        <w:pStyle w:val="28"/>
        <w:rPr>
          <w:b/>
          <w:bCs/>
          <w:color w:val="auto"/>
          <w:u w:val="single"/>
        </w:rPr>
      </w:pPr>
      <w:bookmarkStart w:id="120" w:name="5331580-5566818-7"/>
      <w:bookmarkEnd w:id="120"/>
      <w:r>
        <w:rPr>
          <w:b/>
          <w:bCs/>
          <w:color w:val="auto"/>
          <w:u w:val="single"/>
        </w:rPr>
        <w:t>溴素</w:t>
      </w:r>
    </w:p>
    <w:p w14:paraId="50EED6F9">
      <w:pPr>
        <w:bidi w:val="0"/>
        <w:rPr>
          <w:rFonts w:hint="default"/>
          <w:color w:val="auto"/>
        </w:rPr>
      </w:pPr>
      <w:r>
        <w:rPr>
          <w:rFonts w:hint="eastAsia"/>
          <w:color w:val="auto"/>
          <w:lang w:val="en-US" w:eastAsia="zh-CN"/>
        </w:rPr>
        <w:t>1、</w:t>
      </w:r>
      <w:r>
        <w:rPr>
          <w:rFonts w:hint="eastAsia"/>
          <w:color w:val="auto"/>
        </w:rPr>
        <w:t>个人防护</w:t>
      </w:r>
      <w:r>
        <w:rPr>
          <w:color w:val="auto"/>
        </w:rPr>
        <w:t>：</w:t>
      </w:r>
      <w:r>
        <w:rPr>
          <w:rFonts w:hint="default"/>
          <w:color w:val="auto"/>
        </w:rPr>
        <w:t>可能接触其蒸气或烟雾时，必须佩戴防毒面具或供气式头盔。紧急事态抢救或逃生时，建议佩带自给式呼吸器。戴化学安全防护眼镜。穿工作服（防腐材料制作）。戴橡皮手套。工作后，淋浴更衣。单独存放被毒物污染的衣服，洗后再用。保持良好的卫生习惯。</w:t>
      </w:r>
    </w:p>
    <w:p w14:paraId="3EB949B1">
      <w:pPr>
        <w:pStyle w:val="28"/>
        <w:rPr>
          <w:b/>
          <w:bCs/>
          <w:color w:val="auto"/>
          <w:u w:val="single"/>
        </w:rPr>
      </w:pPr>
      <w:r>
        <w:rPr>
          <w:rFonts w:hint="eastAsia"/>
          <w:color w:val="auto"/>
          <w:lang w:val="en-US" w:eastAsia="zh-CN"/>
        </w:rPr>
        <w:t>2、</w:t>
      </w:r>
      <w:r>
        <w:rPr>
          <w:rFonts w:hint="eastAsia"/>
          <w:color w:val="auto"/>
        </w:rPr>
        <w:t>操作注意事项</w:t>
      </w:r>
      <w:r>
        <w:rPr>
          <w:color w:val="auto"/>
        </w:rPr>
        <w:t>：</w:t>
      </w:r>
    </w:p>
    <w:p w14:paraId="6AE60ABB">
      <w:pPr>
        <w:bidi w:val="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远离火种、</w:t>
      </w:r>
      <w:r>
        <w:rPr>
          <w:rFonts w:hint="default"/>
          <w:color w:val="auto"/>
        </w:rPr>
        <w:fldChar w:fldCharType="begin"/>
      </w:r>
      <w:r>
        <w:rPr>
          <w:rFonts w:hint="default"/>
          <w:color w:val="auto"/>
        </w:rPr>
        <w:instrText xml:space="preserve"> HYPERLINK "https://baike.so.com/doc/5880117-6092992.html" \t "https://baike.so.com/doc/_blank" </w:instrText>
      </w:r>
      <w:r>
        <w:rPr>
          <w:rFonts w:hint="default"/>
          <w:color w:val="auto"/>
        </w:rPr>
        <w:fldChar w:fldCharType="separate"/>
      </w:r>
      <w:r>
        <w:rPr>
          <w:rStyle w:val="32"/>
          <w:rFonts w:hint="default" w:ascii="Arial" w:hAnsi="Arial" w:eastAsia="宋体" w:cs="Arial"/>
          <w:i w:val="0"/>
          <w:iCs w:val="0"/>
          <w:caps w:val="0"/>
          <w:color w:val="auto"/>
          <w:spacing w:val="0"/>
          <w:szCs w:val="21"/>
          <w:u w:val="none"/>
          <w:shd w:val="clear" w:fill="FFFFFF"/>
        </w:rPr>
        <w:t>热源</w:t>
      </w:r>
      <w:r>
        <w:rPr>
          <w:rFonts w:hint="default"/>
          <w:color w:val="auto"/>
        </w:rPr>
        <w:fldChar w:fldCharType="end"/>
      </w:r>
      <w:r>
        <w:rPr>
          <w:rFonts w:hint="default"/>
          <w:color w:val="auto"/>
        </w:rPr>
        <w:t>，工作场所严禁吸烟。</w:t>
      </w:r>
    </w:p>
    <w:p w14:paraId="2454E055">
      <w:pPr>
        <w:bidi w:val="0"/>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防止蒸气泄漏到工作场所空气中。</w:t>
      </w:r>
    </w:p>
    <w:p w14:paraId="3A193E7A">
      <w:pPr>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避免与</w:t>
      </w:r>
      <w:r>
        <w:rPr>
          <w:rFonts w:hint="eastAsia"/>
          <w:color w:val="auto"/>
          <w:lang w:val="en-US" w:eastAsia="zh-CN"/>
        </w:rPr>
        <w:t>有机物</w:t>
      </w:r>
      <w:r>
        <w:rPr>
          <w:rFonts w:hint="default"/>
          <w:color w:val="auto"/>
        </w:rPr>
        <w:t>、</w:t>
      </w:r>
      <w:r>
        <w:rPr>
          <w:rFonts w:hint="eastAsia"/>
          <w:color w:val="auto"/>
          <w:lang w:val="en-US" w:eastAsia="zh-CN"/>
        </w:rPr>
        <w:t>易燃物、还原剂</w:t>
      </w:r>
      <w:r>
        <w:rPr>
          <w:rFonts w:hint="default"/>
          <w:color w:val="auto"/>
        </w:rPr>
        <w:t>接触。</w:t>
      </w:r>
    </w:p>
    <w:p w14:paraId="60D5FACB">
      <w:pPr>
        <w:bidi w:val="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搬运时要轻装轻卸，防止包装及容器损坏。</w:t>
      </w:r>
    </w:p>
    <w:p w14:paraId="3A0226DD">
      <w:pPr>
        <w:pStyle w:val="28"/>
        <w:numPr>
          <w:ilvl w:val="0"/>
          <w:numId w:val="18"/>
        </w:numPr>
        <w:rPr>
          <w:color w:val="auto"/>
        </w:rPr>
      </w:pPr>
      <w:r>
        <w:rPr>
          <w:rFonts w:hint="eastAsia"/>
          <w:color w:val="auto"/>
        </w:rPr>
        <w:t>泄漏</w:t>
      </w:r>
      <w:r>
        <w:rPr>
          <w:color w:val="auto"/>
        </w:rPr>
        <w:t>处置方法：</w:t>
      </w:r>
    </w:p>
    <w:p w14:paraId="2641C8F5">
      <w:pPr>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小量泄漏</w:t>
      </w:r>
      <w:r>
        <w:rPr>
          <w:rFonts w:hint="eastAsia"/>
          <w:color w:val="auto"/>
          <w:lang w:eastAsia="zh-CN"/>
        </w:rPr>
        <w:t>：</w:t>
      </w:r>
      <w:r>
        <w:rPr>
          <w:rFonts w:hint="eastAsia"/>
          <w:color w:val="auto"/>
        </w:rPr>
        <w:t>用苏打水中和，也可用大量水冲洗，洗液稀释后放入废水系统。</w:t>
      </w:r>
    </w:p>
    <w:p w14:paraId="17E3D939">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大量泄漏</w:t>
      </w:r>
      <w:r>
        <w:rPr>
          <w:rFonts w:hint="eastAsia"/>
          <w:color w:val="auto"/>
          <w:lang w:eastAsia="zh-CN"/>
        </w:rPr>
        <w:t>：</w:t>
      </w:r>
      <w:r>
        <w:rPr>
          <w:rFonts w:hint="eastAsia"/>
          <w:color w:val="auto"/>
        </w:rPr>
        <w:t>构筑围堤或将泄漏溴素清理的临时防护槽内，用片碱覆盖后加水反应吸收，降低蒸气灾害，喷雾状水冷却和稀释，蒸气用液碱中和。</w:t>
      </w:r>
    </w:p>
    <w:p w14:paraId="40E188F1">
      <w:pPr>
        <w:bidi w:val="0"/>
        <w:ind w:left="0" w:leftChars="0" w:firstLine="482" w:firstLineChars="200"/>
        <w:rPr>
          <w:rFonts w:hint="default" w:ascii="Times New Roman" w:hAnsi="Times New Roman" w:cs="Times New Roman"/>
          <w:b/>
          <w:bCs/>
          <w:color w:val="auto"/>
          <w:highlight w:val="none"/>
          <w:u w:val="single"/>
        </w:rPr>
      </w:pPr>
      <w:r>
        <w:rPr>
          <w:rFonts w:cs="Arial"/>
          <w:b/>
          <w:bCs/>
          <w:szCs w:val="28"/>
          <w:u w:val="single"/>
        </w:rPr>
        <w:t>1-氯-1,1-二氟乙烷（</w:t>
      </w:r>
      <w:r>
        <w:rPr>
          <w:rFonts w:cs="Arial"/>
          <w:b/>
          <w:bCs/>
          <w:color w:val="000000"/>
          <w:szCs w:val="28"/>
          <w:u w:val="single"/>
        </w:rPr>
        <w:t>HCFC-142b）</w:t>
      </w:r>
    </w:p>
    <w:p w14:paraId="2CBDE3D2">
      <w:pPr>
        <w:bidi w:val="0"/>
        <w:rPr>
          <w:rFonts w:hint="default"/>
        </w:rPr>
      </w:pPr>
      <w:r>
        <w:rPr>
          <w:rFonts w:hint="eastAsia"/>
          <w:lang w:val="en-US" w:eastAsia="zh-CN"/>
        </w:rPr>
        <w:t>1、</w:t>
      </w:r>
      <w:r>
        <w:rPr>
          <w:rFonts w:hint="eastAsia"/>
        </w:rPr>
        <w:t>个人防护</w:t>
      </w:r>
      <w:r>
        <w:t>：</w:t>
      </w:r>
      <w:r>
        <w:rPr>
          <w:rFonts w:hint="default"/>
        </w:rPr>
        <w:t>一般不需要特殊防护，高浓度接触时可佩戴自吸过滤式防毒面具(半面罩)。穿防静电工作服。戴一般作业防护手套。</w:t>
      </w:r>
    </w:p>
    <w:p w14:paraId="15D32C2B">
      <w:pPr>
        <w:pStyle w:val="28"/>
        <w:rPr>
          <w:color w:val="auto"/>
        </w:rPr>
      </w:pPr>
      <w:r>
        <w:rPr>
          <w:rFonts w:hint="eastAsia"/>
          <w:color w:val="auto"/>
          <w:lang w:val="en-US" w:eastAsia="zh-CN"/>
        </w:rPr>
        <w:t>2、</w:t>
      </w:r>
      <w:r>
        <w:rPr>
          <w:rFonts w:hint="eastAsia"/>
          <w:color w:val="auto"/>
        </w:rPr>
        <w:t>操作注意事项</w:t>
      </w:r>
      <w:r>
        <w:rPr>
          <w:color w:val="auto"/>
        </w:rPr>
        <w:t>：</w:t>
      </w:r>
    </w:p>
    <w:p w14:paraId="0D9085C2">
      <w:pPr>
        <w:pStyle w:val="28"/>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避免吸入蒸气。</w:t>
      </w:r>
    </w:p>
    <w:p w14:paraId="7693F251">
      <w:pPr>
        <w:pStyle w:val="28"/>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只能使用不产生火花的工具。</w:t>
      </w:r>
    </w:p>
    <w:p w14:paraId="101B8421">
      <w:pPr>
        <w:pStyle w:val="28"/>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为防止静电释放引起的蒸气着火，设备上所有金属部件都要接地。使用防爆设备。</w:t>
      </w:r>
    </w:p>
    <w:p w14:paraId="02B27E19">
      <w:pPr>
        <w:pStyle w:val="28"/>
        <w:rPr>
          <w:rFonts w:hint="eastAsia"/>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在通风良好处进行操作。穿戴合适的个人防护用具。避免接触皮肤和进入眼睛</w:t>
      </w:r>
      <w:r>
        <w:rPr>
          <w:rFonts w:hint="eastAsia"/>
          <w:color w:val="auto"/>
          <w:lang w:val="en-US" w:eastAsia="zh-CN"/>
        </w:rPr>
        <w:t>。</w:t>
      </w:r>
    </w:p>
    <w:p w14:paraId="562A6622">
      <w:pPr>
        <w:pStyle w:val="28"/>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远离热源、火花、明火和热表面。</w:t>
      </w:r>
    </w:p>
    <w:p w14:paraId="729521DB">
      <w:pPr>
        <w:pStyle w:val="28"/>
        <w:rPr>
          <w:rFonts w:hint="eastAsia"/>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搬运时要轻装轻卸，防止包装及容器损坏。</w:t>
      </w:r>
    </w:p>
    <w:p w14:paraId="597D2BEE">
      <w:pPr>
        <w:pStyle w:val="28"/>
        <w:rPr>
          <w:color w:val="auto"/>
        </w:rPr>
      </w:pPr>
      <w:r>
        <w:rPr>
          <w:rFonts w:hint="eastAsia"/>
          <w:color w:val="auto"/>
          <w:lang w:val="en-US" w:eastAsia="zh-CN"/>
        </w:rPr>
        <w:t>3、</w:t>
      </w:r>
      <w:r>
        <w:rPr>
          <w:rFonts w:hint="eastAsia"/>
          <w:color w:val="auto"/>
        </w:rPr>
        <w:t>泄漏</w:t>
      </w:r>
      <w:r>
        <w:rPr>
          <w:color w:val="auto"/>
        </w:rPr>
        <w:t>处置方法：</w:t>
      </w:r>
    </w:p>
    <w:p w14:paraId="7CD3AE2B">
      <w:pPr>
        <w:bidi w:val="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default"/>
        </w:rPr>
        <w:t>少量泄漏时，可采用干砂或惰性吸附材料吸收泄漏物</w:t>
      </w:r>
      <w:r>
        <w:rPr>
          <w:rFonts w:hint="eastAsia"/>
          <w:lang w:val="en-US" w:eastAsia="zh-CN"/>
        </w:rPr>
        <w:t>.</w:t>
      </w:r>
    </w:p>
    <w:p w14:paraId="1257018C">
      <w:pPr>
        <w:bidi w:val="0"/>
        <w:rPr>
          <w:rFonts w:hint="default"/>
        </w:rPr>
      </w:pPr>
      <w:r>
        <w:rPr>
          <w:rFonts w:hint="eastAsia"/>
          <w:lang w:val="en-US" w:eastAsia="zh-CN"/>
        </w:rPr>
        <w:t>（2）</w:t>
      </w:r>
      <w:r>
        <w:rPr>
          <w:rFonts w:hint="default"/>
        </w:rPr>
        <w:t>大量泄漏时需筑堤控制。附着物或收集物应存放在合适的密闭容器中，并根据当地相关法律法规废弃处置。清除所有点火源，并采用防火花工具和防暴设备。</w:t>
      </w:r>
    </w:p>
    <w:p w14:paraId="2009073D">
      <w:pPr>
        <w:pStyle w:val="54"/>
        <w:keepNext w:val="0"/>
        <w:keepLines w:val="0"/>
        <w:pageBreakBefore w:val="0"/>
        <w:widowControl w:val="0"/>
        <w:kinsoku/>
        <w:wordWrap/>
        <w:overflowPunct/>
        <w:topLinePunct w:val="0"/>
        <w:autoSpaceDE/>
        <w:autoSpaceDN/>
        <w:bidi w:val="0"/>
        <w:adjustRightInd w:val="0"/>
        <w:snapToGrid w:val="0"/>
        <w:spacing w:before="157" w:beforeLines="50" w:after="0" w:afterLines="0" w:line="240" w:lineRule="auto"/>
        <w:textAlignment w:val="auto"/>
        <w:rPr>
          <w:rStyle w:val="71"/>
        </w:rPr>
      </w:pPr>
      <w:r>
        <w:tab/>
      </w:r>
      <w:r>
        <w:rPr>
          <w:rStyle w:val="71"/>
          <w:rFonts w:hint="eastAsia"/>
        </w:rPr>
        <w:t>表4</w:t>
      </w:r>
      <w:r>
        <w:rPr>
          <w:rStyle w:val="71"/>
          <w:rFonts w:hint="eastAsia"/>
          <w:lang w:val="en-US" w:eastAsia="zh-CN"/>
        </w:rPr>
        <w:t>.1-3</w:t>
      </w:r>
      <w:r>
        <w:rPr>
          <w:rStyle w:val="71"/>
        </w:rPr>
        <w:t xml:space="preserve"> </w:t>
      </w:r>
      <w:r>
        <w:rPr>
          <w:rStyle w:val="71"/>
          <w:rFonts w:hint="eastAsia"/>
        </w:rPr>
        <w:t>物料转移</w:t>
      </w:r>
      <w:r>
        <w:rPr>
          <w:rStyle w:val="71"/>
        </w:rPr>
        <w:t>阶段</w:t>
      </w:r>
      <w:r>
        <w:rPr>
          <w:rStyle w:val="71"/>
          <w:rFonts w:hint="eastAsia"/>
        </w:rPr>
        <w:t>危险</w:t>
      </w:r>
      <w:r>
        <w:rPr>
          <w:rStyle w:val="71"/>
        </w:rPr>
        <w:t>化学品统计表</w:t>
      </w:r>
    </w:p>
    <w:tbl>
      <w:tblPr>
        <w:tblStyle w:val="30"/>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465"/>
        <w:gridCol w:w="2060"/>
        <w:gridCol w:w="1568"/>
        <w:gridCol w:w="1443"/>
        <w:gridCol w:w="1381"/>
      </w:tblGrid>
      <w:tr w14:paraId="4B8A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720" w:type="dxa"/>
            <w:gridSpan w:val="2"/>
            <w:vAlign w:val="center"/>
          </w:tcPr>
          <w:p w14:paraId="5B7436CC">
            <w:pPr>
              <w:pStyle w:val="45"/>
              <w:bidi w:val="0"/>
            </w:pPr>
            <w:r>
              <w:rPr>
                <w:rFonts w:hint="eastAsia"/>
              </w:rPr>
              <w:t>危险化学品种类</w:t>
            </w:r>
          </w:p>
        </w:tc>
        <w:tc>
          <w:tcPr>
            <w:tcW w:w="2060" w:type="dxa"/>
            <w:vAlign w:val="center"/>
          </w:tcPr>
          <w:p w14:paraId="44EF6B74">
            <w:pPr>
              <w:pStyle w:val="45"/>
              <w:bidi w:val="0"/>
            </w:pPr>
            <w:r>
              <w:t>风险</w:t>
            </w:r>
            <w:r>
              <w:rPr>
                <w:rFonts w:hint="eastAsia"/>
              </w:rPr>
              <w:t>特性</w:t>
            </w:r>
          </w:p>
        </w:tc>
        <w:tc>
          <w:tcPr>
            <w:tcW w:w="1568" w:type="dxa"/>
          </w:tcPr>
          <w:p w14:paraId="716BB4D6">
            <w:pPr>
              <w:pStyle w:val="45"/>
              <w:bidi w:val="0"/>
            </w:pPr>
            <w:r>
              <w:rPr>
                <w:rFonts w:hint="eastAsia"/>
              </w:rPr>
              <w:t>处置</w:t>
            </w:r>
            <w:r>
              <w:t>要求</w:t>
            </w:r>
            <w:r>
              <w:rPr>
                <w:rFonts w:hint="eastAsia"/>
              </w:rPr>
              <w:t>及</w:t>
            </w:r>
            <w:r>
              <w:t>风险控制</w:t>
            </w:r>
          </w:p>
        </w:tc>
        <w:tc>
          <w:tcPr>
            <w:tcW w:w="1443" w:type="dxa"/>
            <w:vAlign w:val="center"/>
          </w:tcPr>
          <w:p w14:paraId="1D813457">
            <w:pPr>
              <w:pStyle w:val="45"/>
              <w:bidi w:val="0"/>
            </w:pPr>
            <w:r>
              <w:rPr>
                <w:rFonts w:hint="eastAsia"/>
              </w:rPr>
              <w:t>处置</w:t>
            </w:r>
            <w:r>
              <w:t>途径</w:t>
            </w:r>
          </w:p>
        </w:tc>
        <w:tc>
          <w:tcPr>
            <w:tcW w:w="1381" w:type="dxa"/>
            <w:vAlign w:val="center"/>
          </w:tcPr>
          <w:p w14:paraId="6CB8B8BC">
            <w:pPr>
              <w:pStyle w:val="45"/>
              <w:bidi w:val="0"/>
            </w:pPr>
            <w:r>
              <w:rPr>
                <w:rFonts w:hint="eastAsia"/>
              </w:rPr>
              <w:t>监管</w:t>
            </w:r>
          </w:p>
        </w:tc>
      </w:tr>
      <w:tr w14:paraId="7BC7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55" w:type="dxa"/>
            <w:vMerge w:val="restart"/>
            <w:vAlign w:val="center"/>
          </w:tcPr>
          <w:p w14:paraId="31866E92">
            <w:pPr>
              <w:pStyle w:val="45"/>
              <w:bidi w:val="0"/>
            </w:pPr>
            <w:r>
              <w:rPr>
                <w:rFonts w:hint="eastAsia"/>
              </w:rPr>
              <w:t>物料转移阶段涉及</w:t>
            </w:r>
            <w:r>
              <w:t>的</w:t>
            </w:r>
            <w:r>
              <w:rPr>
                <w:rFonts w:hint="eastAsia"/>
              </w:rPr>
              <w:t>HCFC-</w:t>
            </w:r>
            <w:r>
              <w:rPr>
                <w:rFonts w:hint="eastAsia"/>
                <w:lang w:val="en-US" w:eastAsia="zh-CN"/>
              </w:rPr>
              <w:t>141b</w:t>
            </w:r>
            <w:r>
              <w:rPr>
                <w:rFonts w:hint="eastAsia"/>
              </w:rPr>
              <w:t>生产</w:t>
            </w:r>
            <w:r>
              <w:t>物料、催化剂等</w:t>
            </w:r>
          </w:p>
        </w:tc>
        <w:tc>
          <w:tcPr>
            <w:tcW w:w="1465" w:type="dxa"/>
            <w:vAlign w:val="center"/>
          </w:tcPr>
          <w:p w14:paraId="42A027FD">
            <w:pPr>
              <w:pStyle w:val="45"/>
              <w:bidi w:val="0"/>
            </w:pPr>
            <w:r>
              <w:t>偏</w:t>
            </w:r>
            <w:r>
              <w:rPr>
                <w:rFonts w:hint="eastAsia"/>
                <w:lang w:val="en-US" w:eastAsia="zh-CN"/>
              </w:rPr>
              <w:t>二</w:t>
            </w:r>
            <w:r>
              <w:t>氯乙烯</w:t>
            </w:r>
          </w:p>
        </w:tc>
        <w:tc>
          <w:tcPr>
            <w:tcW w:w="2060" w:type="dxa"/>
            <w:vAlign w:val="center"/>
          </w:tcPr>
          <w:p w14:paraId="387B78B2">
            <w:pPr>
              <w:pStyle w:val="45"/>
              <w:bidi w:val="0"/>
              <w:rPr>
                <w:rFonts w:hint="eastAsia"/>
                <w:lang w:eastAsia="zh-CN"/>
              </w:rPr>
            </w:pPr>
            <w:r>
              <w:rPr>
                <w:rFonts w:hint="eastAsia"/>
                <w:lang w:val="en-US" w:eastAsia="zh-CN"/>
              </w:rPr>
              <w:t>①</w:t>
            </w:r>
            <w:r>
              <w:rPr>
                <w:rFonts w:hint="eastAsia"/>
              </w:rPr>
              <w:t>易燃，其蒸气与空气可形成起燃烧爆炸。受高热分解产生有毒的腐蚀性烟气</w:t>
            </w:r>
            <w:r>
              <w:rPr>
                <w:rFonts w:hint="eastAsia"/>
                <w:lang w:eastAsia="zh-CN"/>
              </w:rPr>
              <w:t>；</w:t>
            </w:r>
          </w:p>
          <w:p w14:paraId="0F92E90A">
            <w:pPr>
              <w:pStyle w:val="45"/>
              <w:bidi w:val="0"/>
              <w:rPr>
                <w:rFonts w:hint="eastAsia"/>
                <w:lang w:eastAsia="zh-CN"/>
              </w:rPr>
            </w:pPr>
            <w:r>
              <w:rPr>
                <w:rFonts w:hint="eastAsia"/>
              </w:rPr>
              <w:t>②与氧化剂接触猛烈反应</w:t>
            </w:r>
            <w:r>
              <w:rPr>
                <w:rFonts w:hint="eastAsia"/>
                <w:lang w:eastAsia="zh-CN"/>
              </w:rPr>
              <w:t>；</w:t>
            </w:r>
          </w:p>
          <w:p w14:paraId="36A8F406">
            <w:pPr>
              <w:pStyle w:val="45"/>
              <w:bidi w:val="0"/>
            </w:pPr>
            <w:r>
              <w:rPr>
                <w:rFonts w:hint="eastAsia"/>
              </w:rPr>
              <w:t>③其蒸气比空气重，能在较低处扩散到相当远的地方，遇火源会着火回燃。</w:t>
            </w:r>
          </w:p>
        </w:tc>
        <w:tc>
          <w:tcPr>
            <w:tcW w:w="1568" w:type="dxa"/>
            <w:vMerge w:val="restart"/>
            <w:vAlign w:val="center"/>
          </w:tcPr>
          <w:p w14:paraId="08D273A1">
            <w:pPr>
              <w:pStyle w:val="45"/>
              <w:bidi w:val="0"/>
            </w:pPr>
            <w:r>
              <w:rPr>
                <w:rFonts w:hint="eastAsia"/>
              </w:rPr>
              <w:t>①</w:t>
            </w:r>
            <w:r>
              <w:t>转移时</w:t>
            </w:r>
            <w:r>
              <w:rPr>
                <w:rFonts w:hint="eastAsia"/>
              </w:rPr>
              <w:t>使设备中的物料处于最低液位，</w:t>
            </w:r>
            <w:r>
              <w:t>放空后</w:t>
            </w:r>
            <w:r>
              <w:rPr>
                <w:rFonts w:hint="eastAsia"/>
              </w:rPr>
              <w:t>系统内残余液在人员安排稳定后再进行冲洗处置；</w:t>
            </w:r>
          </w:p>
          <w:p w14:paraId="00B1E75A">
            <w:pPr>
              <w:pStyle w:val="45"/>
              <w:bidi w:val="0"/>
            </w:pPr>
            <w:r>
              <w:rPr>
                <w:rFonts w:hint="eastAsia"/>
              </w:rPr>
              <w:t>②废液暂存</w:t>
            </w:r>
            <w:r>
              <w:t>时</w:t>
            </w:r>
            <w:r>
              <w:rPr>
                <w:rFonts w:hint="eastAsia"/>
              </w:rPr>
              <w:t>严谨</w:t>
            </w:r>
            <w:r>
              <w:t>滴洒</w:t>
            </w:r>
            <w:r>
              <w:rPr>
                <w:rFonts w:hint="eastAsia"/>
              </w:rPr>
              <w:t>；</w:t>
            </w:r>
          </w:p>
          <w:p w14:paraId="35E236BB">
            <w:pPr>
              <w:pStyle w:val="45"/>
              <w:bidi w:val="0"/>
            </w:pPr>
            <w:r>
              <w:rPr>
                <w:rFonts w:hint="eastAsia"/>
              </w:rPr>
              <w:t>③储存堆放场地需</w:t>
            </w:r>
            <w:r>
              <w:t>具备硬化路面、四周围堰等条件，并应</w:t>
            </w:r>
            <w:r>
              <w:rPr>
                <w:rFonts w:hint="eastAsia"/>
              </w:rPr>
              <w:t>设立</w:t>
            </w:r>
            <w:r>
              <w:t>明</w:t>
            </w:r>
            <w:r>
              <w:rPr>
                <w:rFonts w:hint="eastAsia"/>
              </w:rPr>
              <w:t>显标志牌，</w:t>
            </w:r>
            <w:r>
              <w:t>尽可能减少存放时间；</w:t>
            </w:r>
          </w:p>
          <w:p w14:paraId="3E10A66C">
            <w:pPr>
              <w:pStyle w:val="45"/>
              <w:bidi w:val="0"/>
            </w:pPr>
            <w:r>
              <w:rPr>
                <w:rFonts w:hint="eastAsia"/>
              </w:rPr>
              <w:t>④待物料转移完毕后，如仍有剩余</w:t>
            </w:r>
            <w:r>
              <w:t>废液</w:t>
            </w:r>
            <w:r>
              <w:rPr>
                <w:rFonts w:hint="eastAsia"/>
              </w:rPr>
              <w:t>统一移交有危废处置资质的单位进行处置。</w:t>
            </w:r>
          </w:p>
        </w:tc>
        <w:tc>
          <w:tcPr>
            <w:tcW w:w="1443" w:type="dxa"/>
            <w:vMerge w:val="restart"/>
            <w:vAlign w:val="center"/>
          </w:tcPr>
          <w:p w14:paraId="24F2AB25">
            <w:pPr>
              <w:pStyle w:val="45"/>
              <w:bidi w:val="0"/>
              <w:rPr>
                <w:rFonts w:hint="eastAsia"/>
                <w:lang w:val="en-US" w:eastAsia="zh-CN"/>
              </w:rPr>
            </w:pPr>
            <w:r>
              <w:rPr>
                <w:rFonts w:hint="eastAsia"/>
                <w:lang w:val="en-US" w:eastAsia="zh-CN"/>
              </w:rPr>
              <w:t>全部投入生产，完成消耗。</w:t>
            </w:r>
          </w:p>
        </w:tc>
        <w:tc>
          <w:tcPr>
            <w:tcW w:w="1381" w:type="dxa"/>
            <w:vMerge w:val="restart"/>
            <w:vAlign w:val="center"/>
          </w:tcPr>
          <w:p w14:paraId="480487BE">
            <w:pPr>
              <w:pStyle w:val="45"/>
              <w:bidi w:val="0"/>
            </w:pPr>
            <w:r>
              <w:rPr>
                <w:rFonts w:hint="eastAsia"/>
              </w:rPr>
              <w:t>现场</w:t>
            </w:r>
            <w:r>
              <w:t>监督</w:t>
            </w:r>
          </w:p>
        </w:tc>
      </w:tr>
      <w:tr w14:paraId="1180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55" w:type="dxa"/>
            <w:vMerge w:val="continue"/>
            <w:vAlign w:val="center"/>
          </w:tcPr>
          <w:p w14:paraId="1D04B731">
            <w:pPr>
              <w:pStyle w:val="45"/>
              <w:bidi w:val="0"/>
            </w:pPr>
          </w:p>
        </w:tc>
        <w:tc>
          <w:tcPr>
            <w:tcW w:w="1465" w:type="dxa"/>
            <w:vAlign w:val="center"/>
          </w:tcPr>
          <w:p w14:paraId="43030070">
            <w:pPr>
              <w:pStyle w:val="45"/>
              <w:bidi w:val="0"/>
            </w:pPr>
            <w:r>
              <w:rPr>
                <w:rFonts w:hint="eastAsia"/>
                <w:lang w:val="en-US" w:eastAsia="zh-CN"/>
              </w:rPr>
              <w:t>氟化氢</w:t>
            </w:r>
          </w:p>
        </w:tc>
        <w:tc>
          <w:tcPr>
            <w:tcW w:w="2060" w:type="dxa"/>
            <w:vAlign w:val="center"/>
          </w:tcPr>
          <w:p w14:paraId="03477B28">
            <w:pPr>
              <w:pStyle w:val="45"/>
              <w:bidi w:val="0"/>
            </w:pPr>
            <w:r>
              <w:rPr>
                <w:rFonts w:hint="eastAsia"/>
              </w:rPr>
              <w:t>①不燃、强腐蚀性</w:t>
            </w:r>
            <w:r>
              <w:t>，对人体造成灼伤</w:t>
            </w:r>
            <w:r>
              <w:rPr>
                <w:rFonts w:hint="eastAsia"/>
              </w:rPr>
              <w:t>；</w:t>
            </w:r>
          </w:p>
          <w:p w14:paraId="755957A6">
            <w:pPr>
              <w:pStyle w:val="45"/>
              <w:bidi w:val="0"/>
            </w:pPr>
            <w:r>
              <w:rPr>
                <w:rFonts w:hint="eastAsia"/>
              </w:rPr>
              <w:t>②与大多数金属反应，生成氢气而引起爆炸；</w:t>
            </w:r>
          </w:p>
          <w:p w14:paraId="7B8E4543">
            <w:pPr>
              <w:pStyle w:val="45"/>
              <w:bidi w:val="0"/>
            </w:pPr>
            <w:r>
              <w:rPr>
                <w:rFonts w:hint="eastAsia"/>
              </w:rPr>
              <w:t>③接触AHF蒸气，可发生支气管炎、肺炎等。</w:t>
            </w:r>
          </w:p>
        </w:tc>
        <w:tc>
          <w:tcPr>
            <w:tcW w:w="1568" w:type="dxa"/>
            <w:vMerge w:val="continue"/>
            <w:vAlign w:val="center"/>
          </w:tcPr>
          <w:p w14:paraId="61BA6904">
            <w:pPr>
              <w:pStyle w:val="45"/>
              <w:bidi w:val="0"/>
            </w:pPr>
          </w:p>
        </w:tc>
        <w:tc>
          <w:tcPr>
            <w:tcW w:w="1443" w:type="dxa"/>
            <w:vMerge w:val="continue"/>
            <w:vAlign w:val="center"/>
          </w:tcPr>
          <w:p w14:paraId="6C2A3B88">
            <w:pPr>
              <w:pStyle w:val="45"/>
              <w:bidi w:val="0"/>
            </w:pPr>
          </w:p>
        </w:tc>
        <w:tc>
          <w:tcPr>
            <w:tcW w:w="1381" w:type="dxa"/>
            <w:vMerge w:val="continue"/>
            <w:vAlign w:val="center"/>
          </w:tcPr>
          <w:p w14:paraId="537897B0">
            <w:pPr>
              <w:pStyle w:val="45"/>
              <w:bidi w:val="0"/>
            </w:pPr>
          </w:p>
        </w:tc>
      </w:tr>
      <w:tr w14:paraId="200E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55" w:type="dxa"/>
            <w:vMerge w:val="continue"/>
            <w:vAlign w:val="center"/>
          </w:tcPr>
          <w:p w14:paraId="0134697A">
            <w:pPr>
              <w:pStyle w:val="45"/>
              <w:bidi w:val="0"/>
            </w:pPr>
          </w:p>
        </w:tc>
        <w:tc>
          <w:tcPr>
            <w:tcW w:w="1465" w:type="dxa"/>
            <w:vAlign w:val="center"/>
          </w:tcPr>
          <w:p w14:paraId="7E29C4E3">
            <w:pPr>
              <w:pStyle w:val="45"/>
              <w:bidi w:val="0"/>
            </w:pPr>
            <w:r>
              <w:rPr>
                <w:rFonts w:hint="eastAsia"/>
                <w:lang w:val="en-US" w:eastAsia="zh-CN"/>
              </w:rPr>
              <w:t>液碱</w:t>
            </w:r>
          </w:p>
        </w:tc>
        <w:tc>
          <w:tcPr>
            <w:tcW w:w="2060" w:type="dxa"/>
            <w:vAlign w:val="center"/>
          </w:tcPr>
          <w:p w14:paraId="5BAA9036">
            <w:pPr>
              <w:pStyle w:val="45"/>
              <w:bidi w:val="0"/>
            </w:pPr>
            <w:r>
              <w:rPr>
                <w:rFonts w:hint="eastAsia"/>
              </w:rPr>
              <w:t>①不燃、强腐蚀性、刺激性</w:t>
            </w:r>
            <w:r>
              <w:t>，对人体造成灼伤</w:t>
            </w:r>
            <w:r>
              <w:rPr>
                <w:rFonts w:hint="eastAsia"/>
              </w:rPr>
              <w:t>；</w:t>
            </w:r>
          </w:p>
          <w:p w14:paraId="73341392">
            <w:pPr>
              <w:pStyle w:val="45"/>
              <w:bidi w:val="0"/>
            </w:pPr>
            <w:r>
              <w:rPr>
                <w:rFonts w:hint="eastAsia"/>
                <w:lang w:val="en-US" w:eastAsia="zh-CN"/>
              </w:rPr>
              <w:t>②</w:t>
            </w:r>
            <w:r>
              <w:rPr>
                <w:rFonts w:hint="eastAsia"/>
              </w:rPr>
              <w:t>废碱</w:t>
            </w:r>
            <w:r>
              <w:t>刺激呼吸道，</w:t>
            </w:r>
            <w:r>
              <w:rPr>
                <w:rFonts w:hint="eastAsia"/>
              </w:rPr>
              <w:t>吸入</w:t>
            </w:r>
            <w:r>
              <w:t>过量造成</w:t>
            </w:r>
            <w:r>
              <w:rPr>
                <w:rFonts w:hint="eastAsia"/>
              </w:rPr>
              <w:t>黏膜</w:t>
            </w:r>
            <w:r>
              <w:t>糜烂。</w:t>
            </w:r>
          </w:p>
        </w:tc>
        <w:tc>
          <w:tcPr>
            <w:tcW w:w="1568" w:type="dxa"/>
            <w:vMerge w:val="continue"/>
            <w:vAlign w:val="center"/>
          </w:tcPr>
          <w:p w14:paraId="38EBFD04">
            <w:pPr>
              <w:pStyle w:val="45"/>
              <w:bidi w:val="0"/>
            </w:pPr>
          </w:p>
        </w:tc>
        <w:tc>
          <w:tcPr>
            <w:tcW w:w="1443" w:type="dxa"/>
            <w:vMerge w:val="continue"/>
            <w:vAlign w:val="center"/>
          </w:tcPr>
          <w:p w14:paraId="30A402A4">
            <w:pPr>
              <w:pStyle w:val="45"/>
              <w:bidi w:val="0"/>
            </w:pPr>
          </w:p>
        </w:tc>
        <w:tc>
          <w:tcPr>
            <w:tcW w:w="1381" w:type="dxa"/>
            <w:vMerge w:val="continue"/>
            <w:vAlign w:val="center"/>
          </w:tcPr>
          <w:p w14:paraId="48D86203">
            <w:pPr>
              <w:pStyle w:val="45"/>
              <w:bidi w:val="0"/>
            </w:pPr>
          </w:p>
        </w:tc>
      </w:tr>
      <w:tr w14:paraId="5722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55" w:type="dxa"/>
            <w:vMerge w:val="continue"/>
            <w:vAlign w:val="center"/>
          </w:tcPr>
          <w:p w14:paraId="482B3C46">
            <w:pPr>
              <w:pStyle w:val="45"/>
              <w:bidi w:val="0"/>
            </w:pPr>
          </w:p>
        </w:tc>
        <w:tc>
          <w:tcPr>
            <w:tcW w:w="1465" w:type="dxa"/>
            <w:vAlign w:val="center"/>
          </w:tcPr>
          <w:p w14:paraId="59BDF846">
            <w:pPr>
              <w:pStyle w:val="45"/>
              <w:bidi w:val="0"/>
              <w:rPr>
                <w:rFonts w:hint="eastAsia"/>
                <w:lang w:val="en-US" w:eastAsia="zh-CN"/>
              </w:rPr>
            </w:pPr>
            <w:r>
              <w:t>溴素</w:t>
            </w:r>
          </w:p>
        </w:tc>
        <w:tc>
          <w:tcPr>
            <w:tcW w:w="2060" w:type="dxa"/>
            <w:vAlign w:val="center"/>
          </w:tcPr>
          <w:p w14:paraId="42C94FB8">
            <w:pPr>
              <w:pStyle w:val="45"/>
              <w:bidi w:val="0"/>
              <w:rPr>
                <w:rFonts w:hint="eastAsia"/>
                <w:lang w:eastAsia="zh-CN"/>
              </w:rPr>
            </w:pPr>
            <w:r>
              <w:rPr>
                <w:rFonts w:hint="eastAsia"/>
                <w:lang w:val="en-US" w:eastAsia="zh-CN"/>
              </w:rPr>
              <w:t>①</w:t>
            </w:r>
            <w:r>
              <w:t>具有强氧化性。与易燃物（如苯）和有机物（如糖、纤维素等）接触会发生剧烈反应，甚至引起燃烧</w:t>
            </w:r>
            <w:r>
              <w:rPr>
                <w:rFonts w:hint="eastAsia"/>
                <w:lang w:eastAsia="zh-CN"/>
              </w:rPr>
              <w:t>；</w:t>
            </w:r>
          </w:p>
          <w:p w14:paraId="0B7ADB53">
            <w:pPr>
              <w:pStyle w:val="45"/>
              <w:bidi w:val="0"/>
              <w:rPr>
                <w:rFonts w:hint="eastAsia"/>
                <w:lang w:val="en-US" w:eastAsia="zh-CN"/>
              </w:rPr>
            </w:pPr>
            <w:r>
              <w:rPr>
                <w:rFonts w:hint="eastAsia"/>
                <w:lang w:val="en-US" w:eastAsia="zh-CN"/>
              </w:rPr>
              <w:t>②</w:t>
            </w:r>
            <w:r>
              <w:rPr>
                <w:color w:val="auto"/>
              </w:rPr>
              <w:t>与</w:t>
            </w:r>
            <w:r>
              <w:rPr>
                <w:rFonts w:hint="default"/>
                <w:color w:val="auto"/>
              </w:rPr>
              <w:fldChar w:fldCharType="begin"/>
            </w:r>
            <w:r>
              <w:rPr>
                <w:rFonts w:hint="default"/>
                <w:color w:val="auto"/>
              </w:rPr>
              <w:instrText xml:space="preserve"> HYPERLINK "https://baike.so.com/doc/722002-764387.html" \t "https://baike.so.com/doc/_blank" </w:instrText>
            </w:r>
            <w:r>
              <w:rPr>
                <w:rFonts w:hint="default"/>
                <w:color w:val="auto"/>
              </w:rPr>
              <w:fldChar w:fldCharType="separate"/>
            </w:r>
            <w:r>
              <w:rPr>
                <w:rStyle w:val="32"/>
                <w:rFonts w:hint="default" w:ascii="Arial" w:hAnsi="Arial" w:eastAsia="宋体" w:cs="Arial"/>
                <w:i w:val="0"/>
                <w:iCs w:val="0"/>
                <w:caps w:val="0"/>
                <w:color w:val="auto"/>
                <w:spacing w:val="0"/>
                <w:szCs w:val="21"/>
                <w:u w:val="none"/>
                <w:shd w:val="clear" w:fill="FFFFFF"/>
              </w:rPr>
              <w:t>还原剂</w:t>
            </w:r>
            <w:r>
              <w:rPr>
                <w:rFonts w:hint="default"/>
                <w:color w:val="auto"/>
              </w:rPr>
              <w:fldChar w:fldCharType="end"/>
            </w:r>
            <w:r>
              <w:rPr>
                <w:rFonts w:hint="default"/>
                <w:color w:val="auto"/>
              </w:rPr>
              <w:t>强烈反应。腐蚀性极强。</w:t>
            </w:r>
          </w:p>
        </w:tc>
        <w:tc>
          <w:tcPr>
            <w:tcW w:w="1568" w:type="dxa"/>
            <w:vMerge w:val="continue"/>
            <w:vAlign w:val="center"/>
          </w:tcPr>
          <w:p w14:paraId="694D144F">
            <w:pPr>
              <w:pStyle w:val="45"/>
              <w:bidi w:val="0"/>
            </w:pPr>
          </w:p>
        </w:tc>
        <w:tc>
          <w:tcPr>
            <w:tcW w:w="1443" w:type="dxa"/>
            <w:vMerge w:val="continue"/>
            <w:vAlign w:val="center"/>
          </w:tcPr>
          <w:p w14:paraId="3B502F8C">
            <w:pPr>
              <w:pStyle w:val="45"/>
              <w:bidi w:val="0"/>
            </w:pPr>
          </w:p>
        </w:tc>
        <w:tc>
          <w:tcPr>
            <w:tcW w:w="1381" w:type="dxa"/>
            <w:vMerge w:val="continue"/>
            <w:vAlign w:val="center"/>
          </w:tcPr>
          <w:p w14:paraId="0E4C085C">
            <w:pPr>
              <w:pStyle w:val="45"/>
              <w:bidi w:val="0"/>
            </w:pPr>
          </w:p>
        </w:tc>
      </w:tr>
      <w:tr w14:paraId="336F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55" w:type="dxa"/>
            <w:vMerge w:val="continue"/>
            <w:vAlign w:val="center"/>
          </w:tcPr>
          <w:p w14:paraId="62A504C2">
            <w:pPr>
              <w:pStyle w:val="45"/>
              <w:bidi w:val="0"/>
            </w:pPr>
          </w:p>
        </w:tc>
        <w:tc>
          <w:tcPr>
            <w:tcW w:w="1465" w:type="dxa"/>
            <w:vAlign w:val="center"/>
          </w:tcPr>
          <w:p w14:paraId="22962CFE">
            <w:pPr>
              <w:pStyle w:val="45"/>
              <w:bidi w:val="0"/>
            </w:pPr>
            <w:r>
              <w:rPr>
                <w:rFonts w:hint="eastAsia"/>
              </w:rPr>
              <w:t>HCFC-</w:t>
            </w:r>
            <w:r>
              <w:t>141b</w:t>
            </w:r>
          </w:p>
        </w:tc>
        <w:tc>
          <w:tcPr>
            <w:tcW w:w="2060" w:type="dxa"/>
            <w:vAlign w:val="center"/>
          </w:tcPr>
          <w:p w14:paraId="4106967D">
            <w:pPr>
              <w:pStyle w:val="45"/>
              <w:bidi w:val="0"/>
              <w:rPr>
                <w:rFonts w:hint="eastAsia"/>
                <w:lang w:val="en-US" w:eastAsia="zh-CN"/>
              </w:rPr>
            </w:pPr>
            <w:r>
              <w:rPr>
                <w:rFonts w:hint="eastAsia"/>
                <w:lang w:val="en-US" w:eastAsia="zh-CN"/>
              </w:rPr>
              <w:t>①</w:t>
            </w:r>
            <w:r>
              <w:rPr>
                <w:rFonts w:hint="default"/>
                <w:lang w:val="en-US" w:eastAsia="zh-CN"/>
              </w:rPr>
              <w:t>如果分解会生成危险性的气体/蒸汽</w:t>
            </w:r>
            <w:r>
              <w:rPr>
                <w:rFonts w:hint="eastAsia"/>
                <w:lang w:val="en-US" w:eastAsia="zh-CN"/>
              </w:rPr>
              <w:t>；</w:t>
            </w:r>
          </w:p>
          <w:p w14:paraId="6E4C7855">
            <w:pPr>
              <w:pStyle w:val="45"/>
              <w:bidi w:val="0"/>
              <w:rPr>
                <w:rFonts w:hint="eastAsia"/>
                <w:lang w:val="en-US" w:eastAsia="zh-CN"/>
              </w:rPr>
            </w:pPr>
            <w:r>
              <w:rPr>
                <w:rFonts w:hint="eastAsia"/>
                <w:lang w:val="en-US" w:eastAsia="zh-CN"/>
              </w:rPr>
              <w:t>②</w:t>
            </w:r>
            <w:r>
              <w:rPr>
                <w:rFonts w:hint="default"/>
                <w:lang w:val="en-US" w:eastAsia="zh-CN"/>
              </w:rPr>
              <w:t>高能量源能够</w:t>
            </w:r>
            <w:r>
              <w:rPr>
                <w:rFonts w:hint="eastAsia"/>
                <w:lang w:val="en-US" w:eastAsia="zh-CN"/>
              </w:rPr>
              <w:t>产生明火；</w:t>
            </w:r>
          </w:p>
          <w:p w14:paraId="3FF629BF">
            <w:pPr>
              <w:pStyle w:val="45"/>
              <w:bidi w:val="0"/>
              <w:rPr>
                <w:rFonts w:hint="default"/>
                <w:lang w:val="en-US" w:eastAsia="zh-CN"/>
              </w:rPr>
            </w:pPr>
            <w:r>
              <w:rPr>
                <w:rFonts w:hint="eastAsia"/>
                <w:lang w:val="en-US" w:eastAsia="zh-CN"/>
              </w:rPr>
              <w:t>③</w:t>
            </w:r>
            <w:r>
              <w:rPr>
                <w:rFonts w:hint="default"/>
                <w:lang w:val="en-US" w:eastAsia="zh-CN"/>
              </w:rPr>
              <w:t>在非常特殊的条件下气体/蒸汽可燃。</w:t>
            </w:r>
          </w:p>
        </w:tc>
        <w:tc>
          <w:tcPr>
            <w:tcW w:w="1568" w:type="dxa"/>
            <w:vMerge w:val="continue"/>
            <w:vAlign w:val="center"/>
          </w:tcPr>
          <w:p w14:paraId="52113C50">
            <w:pPr>
              <w:pStyle w:val="45"/>
              <w:bidi w:val="0"/>
            </w:pPr>
          </w:p>
        </w:tc>
        <w:tc>
          <w:tcPr>
            <w:tcW w:w="1443" w:type="dxa"/>
            <w:vAlign w:val="center"/>
          </w:tcPr>
          <w:p w14:paraId="4E7B5B19">
            <w:pPr>
              <w:pStyle w:val="45"/>
              <w:bidi w:val="0"/>
            </w:pPr>
            <w:r>
              <w:t>全部桶装存至成品库</w:t>
            </w:r>
          </w:p>
        </w:tc>
        <w:tc>
          <w:tcPr>
            <w:tcW w:w="1381" w:type="dxa"/>
            <w:vMerge w:val="continue"/>
            <w:vAlign w:val="center"/>
          </w:tcPr>
          <w:p w14:paraId="70C288EE">
            <w:pPr>
              <w:pStyle w:val="45"/>
              <w:bidi w:val="0"/>
            </w:pPr>
          </w:p>
        </w:tc>
      </w:tr>
      <w:tr w14:paraId="7AE4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55" w:type="dxa"/>
            <w:vMerge w:val="continue"/>
            <w:vAlign w:val="center"/>
          </w:tcPr>
          <w:p w14:paraId="6470E6DE">
            <w:pPr>
              <w:pStyle w:val="45"/>
              <w:bidi w:val="0"/>
            </w:pPr>
          </w:p>
        </w:tc>
        <w:tc>
          <w:tcPr>
            <w:tcW w:w="1465" w:type="dxa"/>
            <w:vAlign w:val="center"/>
          </w:tcPr>
          <w:p w14:paraId="57FC9BBB">
            <w:pPr>
              <w:pStyle w:val="45"/>
              <w:bidi w:val="0"/>
            </w:pPr>
            <w:r>
              <w:rPr>
                <w:rFonts w:hint="eastAsia"/>
              </w:rPr>
              <w:t>HCFC-</w:t>
            </w:r>
            <w:r>
              <w:t>142b</w:t>
            </w:r>
          </w:p>
        </w:tc>
        <w:tc>
          <w:tcPr>
            <w:tcW w:w="2060" w:type="dxa"/>
            <w:vAlign w:val="center"/>
          </w:tcPr>
          <w:p w14:paraId="1DD38D70">
            <w:pPr>
              <w:pStyle w:val="45"/>
              <w:bidi w:val="0"/>
              <w:rPr>
                <w:rFonts w:hint="eastAsia"/>
                <w:lang w:val="en-US" w:eastAsia="zh-CN"/>
              </w:rPr>
            </w:pPr>
            <w:r>
              <w:rPr>
                <w:rFonts w:hint="eastAsia"/>
                <w:lang w:val="en-US" w:eastAsia="zh-CN"/>
              </w:rPr>
              <w:t>①易燃；</w:t>
            </w:r>
          </w:p>
          <w:p w14:paraId="2B2EE337">
            <w:pPr>
              <w:pStyle w:val="45"/>
              <w:bidi w:val="0"/>
            </w:pPr>
            <w:r>
              <w:rPr>
                <w:rFonts w:hint="eastAsia"/>
                <w:lang w:val="en-US" w:eastAsia="zh-CN"/>
              </w:rPr>
              <w:t>②</w:t>
            </w:r>
            <w:r>
              <w:t>吸入高浓度</w:t>
            </w:r>
            <w:r>
              <w:rPr>
                <w:rFonts w:hint="default"/>
              </w:rPr>
              <w:t>，有可能引起心律不齐、昏迷甚至死亡。接触液体可致冻伤。</w:t>
            </w:r>
          </w:p>
        </w:tc>
        <w:tc>
          <w:tcPr>
            <w:tcW w:w="1568" w:type="dxa"/>
            <w:vMerge w:val="continue"/>
            <w:vAlign w:val="center"/>
          </w:tcPr>
          <w:p w14:paraId="68EC43D6">
            <w:pPr>
              <w:pStyle w:val="45"/>
              <w:bidi w:val="0"/>
            </w:pPr>
          </w:p>
        </w:tc>
        <w:tc>
          <w:tcPr>
            <w:tcW w:w="1443" w:type="dxa"/>
            <w:vAlign w:val="center"/>
          </w:tcPr>
          <w:p w14:paraId="1447C2FC">
            <w:pPr>
              <w:pStyle w:val="45"/>
              <w:bidi w:val="0"/>
            </w:pPr>
            <w:r>
              <w:t>回收料压料至VDF装置作为原料使用</w:t>
            </w:r>
          </w:p>
        </w:tc>
        <w:tc>
          <w:tcPr>
            <w:tcW w:w="1381" w:type="dxa"/>
            <w:vMerge w:val="continue"/>
            <w:vAlign w:val="center"/>
          </w:tcPr>
          <w:p w14:paraId="578C776B">
            <w:pPr>
              <w:pStyle w:val="45"/>
              <w:bidi w:val="0"/>
            </w:pPr>
          </w:p>
        </w:tc>
      </w:tr>
    </w:tbl>
    <w:p w14:paraId="5F7F4A30">
      <w:pPr>
        <w:pStyle w:val="4"/>
        <w:rPr>
          <w:rFonts w:hint="default" w:ascii="Times New Roman" w:hAnsi="Times New Roman" w:cs="Times New Roman"/>
          <w:color w:val="auto"/>
          <w:highlight w:val="none"/>
        </w:rPr>
      </w:pPr>
      <w:bookmarkStart w:id="121" w:name="_Toc406099549"/>
      <w:bookmarkStart w:id="122" w:name="_Toc406099825"/>
      <w:bookmarkStart w:id="123" w:name="_Toc406099701"/>
      <w:bookmarkStart w:id="124" w:name="_Toc24079"/>
      <w:r>
        <w:rPr>
          <w:rFonts w:hint="default" w:ascii="Times New Roman" w:hAnsi="Times New Roman" w:cs="Times New Roman"/>
          <w:color w:val="auto"/>
          <w:highlight w:val="none"/>
          <w:lang w:val="en-US" w:eastAsia="zh-CN"/>
        </w:rPr>
        <w:t>4.1.</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危废</w:t>
      </w:r>
      <w:bookmarkEnd w:id="121"/>
      <w:bookmarkEnd w:id="122"/>
      <w:bookmarkEnd w:id="123"/>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管理措施</w:t>
      </w:r>
      <w:bookmarkEnd w:id="124"/>
    </w:p>
    <w:p w14:paraId="0AF1FD4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在HCFC-141b生产线物料转移阶段，生产工艺中使用的</w:t>
      </w:r>
      <w:r>
        <w:rPr>
          <w:rFonts w:hint="default" w:ascii="Times New Roman" w:hAnsi="Times New Roman" w:cs="Times New Roman"/>
          <w:color w:val="auto"/>
          <w:highlight w:val="none"/>
          <w:lang w:val="en-US" w:eastAsia="zh-CN"/>
        </w:rPr>
        <w:t>吸附剂分子筛等</w:t>
      </w:r>
      <w:r>
        <w:rPr>
          <w:rFonts w:hint="default" w:ascii="Times New Roman" w:hAnsi="Times New Roman" w:cs="Times New Roman"/>
          <w:color w:val="auto"/>
          <w:highlight w:val="none"/>
        </w:rPr>
        <w:t>，根据《国家危险废物名录》（</w:t>
      </w:r>
      <w:r>
        <w:rPr>
          <w:rFonts w:hint="default" w:ascii="Times New Roman" w:hAnsi="Times New Roman" w:cs="Times New Roman"/>
          <w:color w:val="auto"/>
          <w:highlight w:val="none"/>
          <w:lang w:val="en-US" w:eastAsia="zh-CN"/>
        </w:rPr>
        <w:t>2025年版</w: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"https://www.mee.gov.cn/ywgz/fgbz/bz/bzwb/gthw/wxfwjbffbz/201911/W020191115568392646754.pdf"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危险废物鉴别标准 通则》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 5085.7—2019</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鉴别标准以及HCFC-141b生产工艺相关物料平衡分析本项目中危险废物，其中具体见表4</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。转移过程如产生危险废物，委托具备相关资质的第三方机构进行危险废物处置。</w:t>
      </w:r>
    </w:p>
    <w:p w14:paraId="70B7C525">
      <w:pPr>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12" w:charSpace="0"/>
        </w:sectPr>
      </w:pPr>
    </w:p>
    <w:p w14:paraId="2CCAB22B">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ab/>
      </w: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物料转移阶段危险废物统计表</w:t>
      </w:r>
    </w:p>
    <w:tbl>
      <w:tblPr>
        <w:tblStyle w:val="30"/>
        <w:tblW w:w="53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67"/>
        <w:gridCol w:w="1467"/>
        <w:gridCol w:w="1929"/>
        <w:gridCol w:w="3137"/>
        <w:gridCol w:w="2577"/>
        <w:gridCol w:w="3272"/>
        <w:gridCol w:w="993"/>
      </w:tblGrid>
      <w:tr w14:paraId="6DC4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8" w:hRule="atLeast"/>
          <w:tblHeader/>
          <w:jc w:val="center"/>
        </w:trPr>
        <w:tc>
          <w:tcPr>
            <w:tcW w:w="1520" w:type="pct"/>
            <w:gridSpan w:val="3"/>
            <w:shd w:val="clear" w:color="auto" w:fill="auto"/>
            <w:vAlign w:val="center"/>
          </w:tcPr>
          <w:p w14:paraId="58DD27F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危险废物类别</w:t>
            </w:r>
          </w:p>
        </w:tc>
        <w:tc>
          <w:tcPr>
            <w:tcW w:w="1093" w:type="pct"/>
            <w:shd w:val="clear" w:color="auto" w:fill="auto"/>
            <w:vAlign w:val="center"/>
          </w:tcPr>
          <w:p w14:paraId="5F382D3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风险特性</w:t>
            </w:r>
          </w:p>
        </w:tc>
        <w:tc>
          <w:tcPr>
            <w:tcW w:w="898" w:type="pct"/>
            <w:shd w:val="clear" w:color="auto" w:fill="auto"/>
            <w:vAlign w:val="center"/>
          </w:tcPr>
          <w:p w14:paraId="546C341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处置要求</w:t>
            </w:r>
          </w:p>
        </w:tc>
        <w:tc>
          <w:tcPr>
            <w:tcW w:w="1140" w:type="pct"/>
            <w:shd w:val="clear" w:color="auto" w:fill="auto"/>
            <w:vAlign w:val="center"/>
          </w:tcPr>
          <w:p w14:paraId="1B322E3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风险控制措施</w:t>
            </w:r>
          </w:p>
        </w:tc>
        <w:tc>
          <w:tcPr>
            <w:tcW w:w="346" w:type="pct"/>
            <w:shd w:val="clear" w:color="auto" w:fill="auto"/>
            <w:vAlign w:val="center"/>
          </w:tcPr>
          <w:p w14:paraId="4A264C9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监管内容</w:t>
            </w:r>
          </w:p>
        </w:tc>
      </w:tr>
      <w:tr w14:paraId="6B2E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37" w:type="pct"/>
            <w:vMerge w:val="restart"/>
            <w:shd w:val="clear" w:color="auto" w:fill="auto"/>
            <w:vAlign w:val="center"/>
          </w:tcPr>
          <w:p w14:paraId="30995917">
            <w:pPr>
              <w:pStyle w:val="45"/>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物料转移阶段</w:t>
            </w:r>
            <w:r>
              <w:rPr>
                <w:rFonts w:hint="default" w:ascii="Times New Roman" w:hAnsi="Times New Roman" w:cs="Times New Roman"/>
                <w:color w:val="auto"/>
                <w:highlight w:val="none"/>
                <w:lang w:val="en-US" w:eastAsia="zh-CN"/>
              </w:rPr>
              <w:t>含有机卤化物废物、含有机卤化物废物（吸附剂分子筛）</w:t>
            </w:r>
          </w:p>
        </w:tc>
        <w:tc>
          <w:tcPr>
            <w:tcW w:w="511" w:type="pct"/>
            <w:shd w:val="clear" w:color="auto" w:fill="auto"/>
            <w:vAlign w:val="center"/>
          </w:tcPr>
          <w:p w14:paraId="6495B3F9">
            <w:pPr>
              <w:pStyle w:val="45"/>
              <w:bidi w:val="0"/>
              <w:rPr>
                <w:rFonts w:hint="default" w:ascii="Times New Roman" w:hAnsi="Times New Roman" w:cs="Times New Roman"/>
                <w:color w:val="auto"/>
                <w:highlight w:val="none"/>
                <w:lang w:val="en-US"/>
              </w:rPr>
            </w:pPr>
            <w:bookmarkStart w:id="125" w:name="OLE_LINK5"/>
            <w:r>
              <w:rPr>
                <w:rFonts w:hint="default" w:ascii="Times New Roman" w:hAnsi="Times New Roman" w:cs="Times New Roman"/>
                <w:color w:val="auto"/>
                <w:highlight w:val="none"/>
                <w:lang w:val="en-US" w:eastAsia="zh-CN"/>
              </w:rPr>
              <w:t>含有机卤化物废物</w:t>
            </w:r>
            <w:bookmarkEnd w:id="125"/>
            <w:r>
              <w:rPr>
                <w:rFonts w:hint="default" w:ascii="Times New Roman" w:hAnsi="Times New Roman" w:cs="Times New Roman"/>
                <w:color w:val="auto"/>
                <w:highlight w:val="none"/>
                <w:lang w:val="en-US" w:eastAsia="zh-CN"/>
              </w:rPr>
              <w:t>：有害成分三氯乙烷等氟氯烃</w:t>
            </w:r>
          </w:p>
        </w:tc>
        <w:tc>
          <w:tcPr>
            <w:tcW w:w="671" w:type="pct"/>
            <w:shd w:val="clear" w:color="auto" w:fill="auto"/>
            <w:vAlign w:val="center"/>
          </w:tcPr>
          <w:p w14:paraId="2625E807">
            <w:pPr>
              <w:pStyle w:val="45"/>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 xml:space="preserve">HW45 </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261-084-45</w:t>
            </w:r>
            <w:r>
              <w:rPr>
                <w:rFonts w:hint="default" w:ascii="Times New Roman" w:hAnsi="Times New Roman" w:cs="Times New Roman"/>
                <w:color w:val="auto"/>
                <w:highlight w:val="none"/>
                <w:lang w:eastAsia="zh-CN"/>
              </w:rPr>
              <w:t>）</w:t>
            </w:r>
          </w:p>
          <w:p w14:paraId="4D9EB4DF">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28.313吨</w:t>
            </w:r>
          </w:p>
        </w:tc>
        <w:tc>
          <w:tcPr>
            <w:tcW w:w="1093" w:type="pct"/>
            <w:vMerge w:val="restart"/>
            <w:shd w:val="clear" w:color="auto" w:fill="auto"/>
            <w:vAlign w:val="center"/>
          </w:tcPr>
          <w:p w14:paraId="5D55A25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含有机卤化物废物具有毒性，随意处置可对人体健康和生态环境造成严重影响。含有机卤化物废物可引起明显的呼吸道刺激，引起呼吸加深，抽搐甚至死亡，并有催泪作用。皮肤接触可引起皮炎和荨麻疹。吸入高浓度蒸气可出现呼吸道炎症，甚至肺水肿。对胃肠道有刺激和腐蚀性。对中枢神经系统有麻醉作用，对肝、肾有严重损害，较严重病例数小时或数天后出现中毒性肝肾损伤。重者甚至发生肝坏死、肝昏迷或急性肾功能衰竭。</w:t>
            </w:r>
          </w:p>
        </w:tc>
        <w:tc>
          <w:tcPr>
            <w:tcW w:w="898" w:type="pct"/>
            <w:vMerge w:val="restart"/>
            <w:shd w:val="clear" w:color="auto" w:fill="auto"/>
            <w:vAlign w:val="center"/>
          </w:tcPr>
          <w:p w14:paraId="7801DA5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项目业主确定危废总量，并按照GB 18597-2001，委托具有相关处置资质的单位进行集中处理；</w:t>
            </w:r>
          </w:p>
          <w:p w14:paraId="23DC6C1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厂区内暂时存放区应具备防渗措施，且废液需密闭存放并尽可能减少暂存时间。</w:t>
            </w:r>
          </w:p>
        </w:tc>
        <w:tc>
          <w:tcPr>
            <w:tcW w:w="1140" w:type="pct"/>
            <w:vMerge w:val="restart"/>
            <w:shd w:val="clear" w:color="auto" w:fill="auto"/>
            <w:vAlign w:val="center"/>
          </w:tcPr>
          <w:p w14:paraId="39CD520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转移时原包装或盛装物满足盛装条件的，应尽量使用原包装或盛装物；不能满足盛装条件的，应选择合适收集包装或盛装设施；</w:t>
            </w:r>
          </w:p>
          <w:p w14:paraId="1E7755E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废液暂存时严禁滴洒；</w:t>
            </w:r>
          </w:p>
          <w:p w14:paraId="272DEC7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按危险固废、一般工业固废分类设置堆放场，堆放场地需具备硬化路面、四周围堰等条件，并应设立明显标志牌；</w:t>
            </w:r>
          </w:p>
          <w:p w14:paraId="3EC9D0A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待物料转移完毕后，剩余废液统一移交有危废处置资质的单位进行处置，并受项目业主监督。</w:t>
            </w:r>
          </w:p>
        </w:tc>
        <w:tc>
          <w:tcPr>
            <w:tcW w:w="346" w:type="pct"/>
            <w:vMerge w:val="restart"/>
            <w:shd w:val="clear" w:color="auto" w:fill="auto"/>
            <w:vAlign w:val="center"/>
          </w:tcPr>
          <w:p w14:paraId="310CD19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现场监督及危废转移联单审核等</w:t>
            </w:r>
          </w:p>
        </w:tc>
      </w:tr>
      <w:tr w14:paraId="3B6B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37" w:type="pct"/>
            <w:vMerge w:val="continue"/>
            <w:shd w:val="clear" w:color="auto" w:fill="auto"/>
            <w:vAlign w:val="center"/>
          </w:tcPr>
          <w:p w14:paraId="3060A470">
            <w:pPr>
              <w:pStyle w:val="45"/>
              <w:bidi w:val="0"/>
              <w:rPr>
                <w:rFonts w:hint="default" w:ascii="Times New Roman" w:hAnsi="Times New Roman" w:cs="Times New Roman"/>
                <w:color w:val="auto"/>
                <w:highlight w:val="none"/>
              </w:rPr>
            </w:pPr>
          </w:p>
        </w:tc>
        <w:tc>
          <w:tcPr>
            <w:tcW w:w="511" w:type="pct"/>
            <w:shd w:val="clear" w:color="auto" w:fill="auto"/>
            <w:vAlign w:val="center"/>
          </w:tcPr>
          <w:p w14:paraId="2C735BF9">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含有机卤化物废物（吸附剂分子筛）</w:t>
            </w:r>
          </w:p>
          <w:p w14:paraId="707C8DD0">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有害成分氟氯烃</w:t>
            </w:r>
          </w:p>
        </w:tc>
        <w:tc>
          <w:tcPr>
            <w:tcW w:w="671" w:type="pct"/>
            <w:shd w:val="clear" w:color="auto" w:fill="auto"/>
            <w:vAlign w:val="center"/>
          </w:tcPr>
          <w:p w14:paraId="216AA9EA">
            <w:pPr>
              <w:pStyle w:val="45"/>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 xml:space="preserve">HW45 </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261-084-45</w:t>
            </w:r>
            <w:r>
              <w:rPr>
                <w:rFonts w:hint="default" w:ascii="Times New Roman" w:hAnsi="Times New Roman" w:cs="Times New Roman"/>
                <w:color w:val="auto"/>
                <w:highlight w:val="none"/>
                <w:lang w:eastAsia="zh-CN"/>
              </w:rPr>
              <w:t>）</w:t>
            </w:r>
          </w:p>
          <w:p w14:paraId="498AAA1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3.432吨</w:t>
            </w:r>
          </w:p>
        </w:tc>
        <w:tc>
          <w:tcPr>
            <w:tcW w:w="1093" w:type="pct"/>
            <w:vMerge w:val="continue"/>
            <w:shd w:val="clear" w:color="auto" w:fill="auto"/>
            <w:vAlign w:val="center"/>
          </w:tcPr>
          <w:p w14:paraId="446AA963">
            <w:pPr>
              <w:pStyle w:val="45"/>
              <w:bidi w:val="0"/>
              <w:rPr>
                <w:rFonts w:hint="default" w:ascii="Times New Roman" w:hAnsi="Times New Roman" w:cs="Times New Roman"/>
                <w:color w:val="auto"/>
                <w:highlight w:val="none"/>
              </w:rPr>
            </w:pPr>
          </w:p>
        </w:tc>
        <w:tc>
          <w:tcPr>
            <w:tcW w:w="898" w:type="pct"/>
            <w:vMerge w:val="continue"/>
            <w:shd w:val="clear" w:color="auto" w:fill="auto"/>
            <w:vAlign w:val="center"/>
          </w:tcPr>
          <w:p w14:paraId="611C0070">
            <w:pPr>
              <w:pStyle w:val="45"/>
              <w:bidi w:val="0"/>
              <w:rPr>
                <w:rFonts w:hint="default" w:ascii="Times New Roman" w:hAnsi="Times New Roman" w:cs="Times New Roman"/>
                <w:color w:val="auto"/>
                <w:highlight w:val="none"/>
              </w:rPr>
            </w:pPr>
          </w:p>
        </w:tc>
        <w:tc>
          <w:tcPr>
            <w:tcW w:w="1140" w:type="pct"/>
            <w:vMerge w:val="continue"/>
            <w:shd w:val="clear" w:color="auto" w:fill="auto"/>
            <w:vAlign w:val="center"/>
          </w:tcPr>
          <w:p w14:paraId="5254F328">
            <w:pPr>
              <w:pStyle w:val="45"/>
              <w:bidi w:val="0"/>
              <w:rPr>
                <w:rFonts w:hint="default" w:ascii="Times New Roman" w:hAnsi="Times New Roman" w:cs="Times New Roman"/>
                <w:color w:val="auto"/>
                <w:highlight w:val="none"/>
              </w:rPr>
            </w:pPr>
          </w:p>
        </w:tc>
        <w:tc>
          <w:tcPr>
            <w:tcW w:w="346" w:type="pct"/>
            <w:vMerge w:val="continue"/>
            <w:shd w:val="clear" w:color="auto" w:fill="auto"/>
            <w:vAlign w:val="center"/>
          </w:tcPr>
          <w:p w14:paraId="422C751B">
            <w:pPr>
              <w:pStyle w:val="45"/>
              <w:bidi w:val="0"/>
              <w:rPr>
                <w:rFonts w:hint="default" w:ascii="Times New Roman" w:hAnsi="Times New Roman" w:cs="Times New Roman"/>
                <w:color w:val="auto"/>
                <w:highlight w:val="none"/>
              </w:rPr>
            </w:pPr>
          </w:p>
        </w:tc>
      </w:tr>
    </w:tbl>
    <w:p w14:paraId="31556ED0">
      <w:pPr>
        <w:tabs>
          <w:tab w:val="left" w:pos="9240"/>
        </w:tabs>
        <w:ind w:firstLine="0" w:firstLineChars="0"/>
        <w:rPr>
          <w:rFonts w:hint="default" w:ascii="Times New Roman" w:hAnsi="Times New Roman" w:cs="Times New Roman"/>
          <w:color w:val="auto"/>
          <w:highlight w:val="none"/>
        </w:rPr>
        <w:sectPr>
          <w:pgSz w:w="16838" w:h="11906" w:orient="landscape"/>
          <w:pgMar w:top="1440" w:right="1800" w:bottom="1440" w:left="1800" w:header="851" w:footer="992" w:gutter="0"/>
          <w:pgNumType w:fmt="decimal"/>
          <w:cols w:space="425" w:num="1"/>
          <w:docGrid w:type="linesAndChars" w:linePitch="326" w:charSpace="0"/>
        </w:sectPr>
      </w:pPr>
    </w:p>
    <w:p w14:paraId="19A2B2F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含有机卤化物废物已</w:t>
      </w:r>
      <w:r>
        <w:rPr>
          <w:rFonts w:hint="default" w:ascii="Times New Roman" w:hAnsi="Times New Roman" w:cs="Times New Roman"/>
          <w:color w:val="auto"/>
          <w:highlight w:val="none"/>
        </w:rPr>
        <w:t>转移到</w:t>
      </w:r>
      <w:r>
        <w:rPr>
          <w:rFonts w:hint="default" w:ascii="Times New Roman" w:hAnsi="Times New Roman" w:cs="Times New Roman"/>
          <w:color w:val="auto"/>
          <w:highlight w:val="none"/>
          <w:lang w:val="en-US" w:eastAsia="zh-CN"/>
        </w:rPr>
        <w:t>苏州新区环保服务中心有限公司</w:t>
      </w:r>
      <w:r>
        <w:rPr>
          <w:rFonts w:hint="default" w:ascii="Times New Roman" w:hAnsi="Times New Roman" w:cs="Times New Roman"/>
          <w:color w:val="auto"/>
          <w:highlight w:val="none"/>
        </w:rPr>
        <w:t>进行处理。</w:t>
      </w:r>
      <w:bookmarkEnd w:id="111"/>
      <w:bookmarkStart w:id="126" w:name="OLE_LINK3"/>
    </w:p>
    <w:p w14:paraId="64D0CE83">
      <w:pPr>
        <w:bidi w:val="0"/>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vertAlign w:val="baseline"/>
          <w:lang w:val="en-US" w:eastAsia="zh-CN"/>
        </w:rPr>
        <w:t>吸附剂分子筛</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转移到</w:t>
      </w:r>
      <w:r>
        <w:rPr>
          <w:rFonts w:hint="default" w:ascii="Times New Roman" w:hAnsi="Times New Roman" w:cs="Times New Roman"/>
          <w:color w:val="auto"/>
          <w:highlight w:val="none"/>
          <w:lang w:eastAsia="zh-CN"/>
        </w:rPr>
        <w:t>光大绿色环保固废处置（张家港）有限公司</w:t>
      </w:r>
      <w:r>
        <w:rPr>
          <w:rFonts w:hint="default" w:ascii="Times New Roman" w:hAnsi="Times New Roman" w:cs="Times New Roman"/>
          <w:color w:val="auto"/>
          <w:highlight w:val="none"/>
        </w:rPr>
        <w:t>进行处理。</w:t>
      </w:r>
    </w:p>
    <w:p w14:paraId="1EBFBB7B">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21280" cy="3707765"/>
            <wp:effectExtent l="0" t="0" r="7620" b="698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48"/>
                    <a:stretch>
                      <a:fillRect/>
                    </a:stretch>
                  </pic:blipFill>
                  <pic:spPr>
                    <a:xfrm>
                      <a:off x="0" y="0"/>
                      <a:ext cx="2621280" cy="370776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2621280" cy="3707765"/>
            <wp:effectExtent l="0" t="0" r="7620" b="698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9"/>
                    <a:stretch>
                      <a:fillRect/>
                    </a:stretch>
                  </pic:blipFill>
                  <pic:spPr>
                    <a:xfrm>
                      <a:off x="0" y="0"/>
                      <a:ext cx="2621280" cy="370776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2628265" cy="3708400"/>
            <wp:effectExtent l="0" t="0" r="635" b="635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50"/>
                    <a:stretch>
                      <a:fillRect/>
                    </a:stretch>
                  </pic:blipFill>
                  <pic:spPr>
                    <a:xfrm>
                      <a:off x="0" y="0"/>
                      <a:ext cx="2628265" cy="370840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2628265" cy="3717290"/>
            <wp:effectExtent l="0" t="0" r="635" b="1651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51"/>
                    <a:stretch>
                      <a:fillRect/>
                    </a:stretch>
                  </pic:blipFill>
                  <pic:spPr>
                    <a:xfrm>
                      <a:off x="0" y="0"/>
                      <a:ext cx="2628265" cy="3717290"/>
                    </a:xfrm>
                    <a:prstGeom prst="rect">
                      <a:avLst/>
                    </a:prstGeom>
                    <a:noFill/>
                    <a:ln>
                      <a:noFill/>
                    </a:ln>
                  </pic:spPr>
                </pic:pic>
              </a:graphicData>
            </a:graphic>
          </wp:inline>
        </w:drawing>
      </w:r>
    </w:p>
    <w:p w14:paraId="0C9AAB0D">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图 4.1-1 危废转移联单</w:t>
      </w:r>
    </w:p>
    <w:bookmarkEnd w:id="126"/>
    <w:p w14:paraId="58820C8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含有机卤化物废物、吸附剂分子筛</w:t>
      </w:r>
      <w:r>
        <w:rPr>
          <w:rFonts w:hint="default" w:ascii="Times New Roman" w:hAnsi="Times New Roman" w:cs="Times New Roman"/>
          <w:color w:val="auto"/>
          <w:highlight w:val="none"/>
        </w:rPr>
        <w:t>的收集、包装与装卸的过程中作业人员配备好个人防护装备，并且时刻注意避免蒸馏釜残的泄露对环境造成影响。</w:t>
      </w:r>
    </w:p>
    <w:p w14:paraId="6BBE7E4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危险废物运输</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由持有危险废物经营许可证的</w:t>
      </w:r>
      <w:r>
        <w:rPr>
          <w:rFonts w:hint="default" w:ascii="Times New Roman" w:hAnsi="Times New Roman" w:cs="Times New Roman"/>
          <w:color w:val="auto"/>
          <w:highlight w:val="none"/>
          <w:lang w:eastAsia="zh-CN"/>
        </w:rPr>
        <w:t>光大绿色环保固废处置（张家港）有限公司</w:t>
      </w:r>
      <w:r>
        <w:rPr>
          <w:rFonts w:hint="default" w:ascii="Times New Roman" w:hAnsi="Times New Roman" w:cs="Times New Roman"/>
          <w:color w:val="auto"/>
          <w:highlight w:val="none"/>
          <w:lang w:val="en-US" w:eastAsia="zh-CN"/>
        </w:rPr>
        <w:t>和苏州新区环保服务中心有限公司</w:t>
      </w:r>
      <w:r>
        <w:rPr>
          <w:rFonts w:hint="default" w:ascii="Times New Roman" w:hAnsi="Times New Roman" w:cs="Times New Roman"/>
          <w:color w:val="auto"/>
          <w:highlight w:val="none"/>
        </w:rPr>
        <w:t>组织实施，承担危险废物运输的单位已获得交通运输部门颁发的危险货物运输资质。</w:t>
      </w:r>
    </w:p>
    <w:p w14:paraId="2824781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67325" cy="3721100"/>
            <wp:effectExtent l="0" t="0" r="9525" b="1270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52"/>
                    <a:stretch>
                      <a:fillRect/>
                    </a:stretch>
                  </pic:blipFill>
                  <pic:spPr>
                    <a:xfrm>
                      <a:off x="0" y="0"/>
                      <a:ext cx="5267325" cy="3721100"/>
                    </a:xfrm>
                    <a:prstGeom prst="rect">
                      <a:avLst/>
                    </a:prstGeom>
                    <a:noFill/>
                    <a:ln>
                      <a:noFill/>
                    </a:ln>
                  </pic:spPr>
                </pic:pic>
              </a:graphicData>
            </a:graphic>
          </wp:inline>
        </w:drawing>
      </w:r>
    </w:p>
    <w:p w14:paraId="17304B1C">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图 4.1-2 苏州新区环保服务中心有限公司营业执照</w:t>
      </w:r>
    </w:p>
    <w:p w14:paraId="586514E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64150" cy="3721100"/>
            <wp:effectExtent l="0" t="0" r="12700" b="1270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3"/>
                    <a:stretch>
                      <a:fillRect/>
                    </a:stretch>
                  </pic:blipFill>
                  <pic:spPr>
                    <a:xfrm>
                      <a:off x="0" y="0"/>
                      <a:ext cx="5264150" cy="3721100"/>
                    </a:xfrm>
                    <a:prstGeom prst="rect">
                      <a:avLst/>
                    </a:prstGeom>
                    <a:noFill/>
                    <a:ln>
                      <a:noFill/>
                    </a:ln>
                  </pic:spPr>
                </pic:pic>
              </a:graphicData>
            </a:graphic>
          </wp:inline>
        </w:drawing>
      </w:r>
    </w:p>
    <w:p w14:paraId="73D525A7">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图 4.1-3 苏州新区环保服务中心有限公司危险废物经营许可证</w:t>
      </w:r>
    </w:p>
    <w:p w14:paraId="30238A1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64150" cy="3721100"/>
            <wp:effectExtent l="0" t="0" r="12700" b="1270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4"/>
                    <a:stretch>
                      <a:fillRect/>
                    </a:stretch>
                  </pic:blipFill>
                  <pic:spPr>
                    <a:xfrm>
                      <a:off x="0" y="0"/>
                      <a:ext cx="5264150" cy="3721100"/>
                    </a:xfrm>
                    <a:prstGeom prst="rect">
                      <a:avLst/>
                    </a:prstGeom>
                    <a:noFill/>
                    <a:ln>
                      <a:noFill/>
                    </a:ln>
                  </pic:spPr>
                </pic:pic>
              </a:graphicData>
            </a:graphic>
          </wp:inline>
        </w:drawing>
      </w:r>
    </w:p>
    <w:p w14:paraId="7C723CE6">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图 4.1-4 </w:t>
      </w:r>
      <w:r>
        <w:rPr>
          <w:rFonts w:hint="default" w:ascii="Times New Roman" w:hAnsi="Times New Roman" w:cs="Times New Roman"/>
          <w:color w:val="auto"/>
          <w:highlight w:val="none"/>
          <w:lang w:eastAsia="zh-CN"/>
        </w:rPr>
        <w:t>光大绿色环保固废处置（张家港）有限公司</w:t>
      </w:r>
      <w:r>
        <w:rPr>
          <w:rFonts w:hint="default" w:ascii="Times New Roman" w:hAnsi="Times New Roman" w:cs="Times New Roman"/>
          <w:color w:val="auto"/>
          <w:lang w:val="en-US" w:eastAsia="zh-CN"/>
        </w:rPr>
        <w:t>营业执照</w:t>
      </w:r>
    </w:p>
    <w:p w14:paraId="6AE35C8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74310" cy="3735705"/>
            <wp:effectExtent l="0" t="0" r="2540" b="1714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5"/>
                    <a:stretch>
                      <a:fillRect/>
                    </a:stretch>
                  </pic:blipFill>
                  <pic:spPr>
                    <a:xfrm>
                      <a:off x="0" y="0"/>
                      <a:ext cx="5274310" cy="3735705"/>
                    </a:xfrm>
                    <a:prstGeom prst="rect">
                      <a:avLst/>
                    </a:prstGeom>
                    <a:noFill/>
                    <a:ln>
                      <a:noFill/>
                    </a:ln>
                  </pic:spPr>
                </pic:pic>
              </a:graphicData>
            </a:graphic>
          </wp:inline>
        </w:drawing>
      </w:r>
    </w:p>
    <w:p w14:paraId="77B2DAC5">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图 4.1-5 </w:t>
      </w:r>
      <w:r>
        <w:rPr>
          <w:rFonts w:hint="default" w:ascii="Times New Roman" w:hAnsi="Times New Roman" w:cs="Times New Roman"/>
          <w:color w:val="auto"/>
          <w:lang w:eastAsia="zh-CN"/>
        </w:rPr>
        <w:t>光大绿色环保固废处置（张家港）有限公司</w:t>
      </w:r>
      <w:r>
        <w:rPr>
          <w:rFonts w:hint="default" w:ascii="Times New Roman" w:hAnsi="Times New Roman" w:cs="Times New Roman"/>
          <w:color w:val="auto"/>
          <w:lang w:val="en-US" w:eastAsia="zh-CN"/>
        </w:rPr>
        <w:t>危险废物经营许可证</w:t>
      </w:r>
    </w:p>
    <w:p w14:paraId="7FEAED5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危险废物公路运输按照《道路危险货物运输管理规定》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交通部令[2005年]第9号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、JT 617以及JT 618执行；运输单位承运危险废物时，在危险废物包装上按照GB 18597附录A设置标志。危险废物公路运输时，运输车辆按GB 13392设置车辆标志。</w:t>
      </w:r>
    </w:p>
    <w:p w14:paraId="117D9BE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本次</w:t>
      </w:r>
      <w:r>
        <w:rPr>
          <w:rFonts w:hint="default" w:ascii="Times New Roman" w:hAnsi="Times New Roman" w:cs="Times New Roman"/>
          <w:color w:val="auto"/>
          <w:highlight w:val="none"/>
          <w:lang w:val="en-US" w:eastAsia="zh-CN"/>
        </w:rPr>
        <w:t>危险废物</w:t>
      </w:r>
      <w:r>
        <w:rPr>
          <w:rFonts w:hint="default" w:ascii="Times New Roman" w:hAnsi="Times New Roman" w:cs="Times New Roman"/>
          <w:color w:val="auto"/>
          <w:highlight w:val="none"/>
        </w:rPr>
        <w:t>的收集、贮存、运输行为由专人进行监管，确保危险废物收集、贮存、运输过程的环境安全。</w:t>
      </w:r>
    </w:p>
    <w:p w14:paraId="60237E04">
      <w:pPr>
        <w:pStyle w:val="3"/>
        <w:rPr>
          <w:rFonts w:hint="default" w:ascii="Times New Roman" w:hAnsi="Times New Roman" w:cs="Times New Roman" w:eastAsiaTheme="minorEastAsia"/>
          <w:color w:val="auto"/>
          <w:highlight w:val="none"/>
        </w:rPr>
      </w:pPr>
      <w:bookmarkStart w:id="127" w:name="_Toc406099827"/>
      <w:bookmarkStart w:id="128" w:name="_Toc32508"/>
      <w:bookmarkStart w:id="129" w:name="_Toc406099551"/>
      <w:bookmarkStart w:id="130" w:name="_Toc406099703"/>
      <w:r>
        <w:rPr>
          <w:rFonts w:hint="default" w:ascii="Times New Roman" w:hAnsi="Times New Roman" w:cs="Times New Roman" w:eastAsiaTheme="minorEastAsia"/>
          <w:color w:val="auto"/>
          <w:highlight w:val="none"/>
          <w:lang w:val="en-US" w:eastAsia="zh-CN"/>
        </w:rPr>
        <w:t>4.2</w:t>
      </w:r>
      <w:r>
        <w:rPr>
          <w:rFonts w:hint="default" w:ascii="Times New Roman" w:hAnsi="Times New Roman" w:cs="Times New Roman" w:eastAsiaTheme="minorEastAsia"/>
          <w:color w:val="auto"/>
          <w:highlight w:val="none"/>
        </w:rPr>
        <w:t>设备拆除阶段污染控制缓解措施</w:t>
      </w:r>
      <w:bookmarkEnd w:id="127"/>
      <w:bookmarkEnd w:id="128"/>
      <w:bookmarkEnd w:id="129"/>
      <w:bookmarkEnd w:id="130"/>
    </w:p>
    <w:p w14:paraId="38FEBCED">
      <w:pPr>
        <w:pStyle w:val="4"/>
        <w:rPr>
          <w:rFonts w:hint="default" w:ascii="Times New Roman" w:hAnsi="Times New Roman" w:cs="Times New Roman"/>
          <w:color w:val="auto"/>
          <w:highlight w:val="none"/>
        </w:rPr>
      </w:pPr>
      <w:bookmarkStart w:id="131" w:name="_Toc28938"/>
      <w:bookmarkStart w:id="132" w:name="_Hlk1574927"/>
      <w:bookmarkStart w:id="133" w:name="_Toc406099552"/>
      <w:bookmarkStart w:id="134" w:name="_Toc406099828"/>
      <w:bookmarkStart w:id="135" w:name="_Toc406099704"/>
      <w:r>
        <w:rPr>
          <w:rFonts w:hint="default" w:ascii="Times New Roman" w:hAnsi="Times New Roman" w:cs="Times New Roman"/>
          <w:color w:val="auto"/>
          <w:highlight w:val="none"/>
          <w:lang w:val="en-US" w:eastAsia="zh-CN"/>
        </w:rPr>
        <w:t xml:space="preserve">4.2.1 </w:t>
      </w:r>
      <w:r>
        <w:rPr>
          <w:rFonts w:hint="default" w:ascii="Times New Roman" w:hAnsi="Times New Roman" w:cs="Times New Roman"/>
          <w:color w:val="auto"/>
          <w:highlight w:val="none"/>
        </w:rPr>
        <w:t>设备拆除过程的环境影响初步分析</w:t>
      </w:r>
      <w:bookmarkEnd w:id="131"/>
    </w:p>
    <w:bookmarkEnd w:id="132"/>
    <w:p w14:paraId="678961AF">
      <w:pPr>
        <w:rPr>
          <w:rFonts w:hint="default" w:ascii="Times New Roman" w:hAnsi="Times New Roman" w:cs="Times New Roman"/>
          <w:color w:val="auto"/>
          <w:highlight w:val="none"/>
        </w:rPr>
      </w:pPr>
      <w:r>
        <w:rPr>
          <w:rFonts w:hint="default" w:ascii="Times New Roman" w:hAnsi="Times New Roman" w:cs="Times New Roman"/>
          <w:color w:val="auto"/>
          <w:highlight w:val="none"/>
        </w:rPr>
        <w:t>HCFC141b生产线关闭拆除期间的主要污染源有废水、固体废弃物、扬尘和施工噪声等。</w:t>
      </w:r>
    </w:p>
    <w:p w14:paraId="0176361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生产线拆除期间的废水污染源主要有拆除阶段冲洗、场地积水与雨水；固体废弃物主要包括废弃、破碎的设备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生产线拆除下来的设备。即HCFC-141b生产线拆除设备清单中的设备。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管道、一般建筑垃圾，以及拆除的设备中含有危险废物等；废气污染源主要有拆除设备空气置换过程产生的废气；扬尘污染源主要有现场材料装卸及车辆运输时和施工拆除过程中扬尘；噪声污染源主要来自脚手架、设备拆装施工噪声。</w:t>
      </w:r>
    </w:p>
    <w:p w14:paraId="6D5127B8">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1 </w:t>
      </w:r>
      <w:r>
        <w:rPr>
          <w:rFonts w:hint="default" w:ascii="Times New Roman" w:hAnsi="Times New Roman" w:cs="Times New Roman"/>
          <w:color w:val="auto"/>
          <w:highlight w:val="none"/>
        </w:rPr>
        <w:t>水环境影响</w:t>
      </w:r>
    </w:p>
    <w:p w14:paraId="233D90B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生产线拆除期间的废水污染源主要有</w:t>
      </w:r>
      <w:r>
        <w:rPr>
          <w:rFonts w:hint="default" w:ascii="Times New Roman" w:hAnsi="Times New Roman" w:cs="Times New Roman"/>
          <w:color w:val="auto"/>
          <w:highlight w:val="none"/>
          <w:lang w:val="en-US" w:eastAsia="zh-CN"/>
        </w:rPr>
        <w:t>冲洗废水、</w:t>
      </w:r>
      <w:r>
        <w:rPr>
          <w:rFonts w:hint="default" w:ascii="Times New Roman" w:hAnsi="Times New Roman" w:cs="Times New Roman"/>
          <w:color w:val="auto"/>
          <w:highlight w:val="none"/>
        </w:rPr>
        <w:t>场地积水与雨水。</w:t>
      </w:r>
    </w:p>
    <w:p w14:paraId="2E74AFEB">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设备拆除过程中预计产生的</w:t>
      </w:r>
      <w:r>
        <w:rPr>
          <w:rFonts w:hint="default" w:ascii="Times New Roman" w:hAnsi="Times New Roman" w:cs="Times New Roman"/>
          <w:color w:val="auto"/>
          <w:highlight w:val="none"/>
          <w:lang w:val="en-US" w:eastAsia="zh-CN"/>
        </w:rPr>
        <w:t>废水</w:t>
      </w:r>
      <w:r>
        <w:rPr>
          <w:rFonts w:hint="default" w:ascii="Times New Roman" w:hAnsi="Times New Roman" w:cs="Times New Roman"/>
          <w:color w:val="auto"/>
          <w:highlight w:val="none"/>
        </w:rPr>
        <w:t>总量为</w:t>
      </w:r>
      <w:r>
        <w:rPr>
          <w:rFonts w:hint="default" w:ascii="Times New Roman" w:hAnsi="Times New Roman" w:cs="Times New Roman"/>
          <w:color w:val="auto"/>
          <w:highlight w:val="none"/>
          <w:lang w:val="en-US" w:eastAsia="zh-CN"/>
        </w:rPr>
        <w:t>40吨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利用现有管道和临时管线对清洗废水进行收集。</w:t>
      </w:r>
      <w:r>
        <w:rPr>
          <w:rFonts w:hint="default" w:ascii="Times New Roman" w:hAnsi="Times New Roman" w:cs="Times New Roman"/>
          <w:color w:val="auto"/>
          <w:highlight w:val="none"/>
          <w:lang w:val="en-US" w:eastAsia="zh-CN"/>
        </w:rPr>
        <w:t>废水进入车间废水池。</w:t>
      </w:r>
      <w:r>
        <w:rPr>
          <w:rFonts w:hint="default" w:ascii="Times New Roman" w:hAnsi="Times New Roman" w:cs="Times New Roman"/>
          <w:color w:val="auto"/>
          <w:highlight w:val="none"/>
        </w:rPr>
        <w:t>利用</w:t>
      </w:r>
      <w:r>
        <w:rPr>
          <w:rFonts w:hint="default" w:ascii="Times New Roman" w:hAnsi="Times New Roman" w:cs="Times New Roman"/>
          <w:color w:val="auto"/>
          <w:highlight w:val="none"/>
          <w:lang w:val="en-US" w:eastAsia="zh-CN"/>
        </w:rPr>
        <w:t>公司污水处理站</w:t>
      </w:r>
      <w:r>
        <w:rPr>
          <w:rFonts w:hint="default" w:ascii="Times New Roman" w:hAnsi="Times New Roman" w:cs="Times New Roman"/>
          <w:color w:val="auto"/>
          <w:highlight w:val="none"/>
        </w:rPr>
        <w:t>现有污水处理系统对清洗废水进行物化处理，达到接管标准后排入园区污水处理厂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排水中各类污染物浓度满足常熟中法工业水处理有限公司接管标准</w:t>
      </w:r>
      <w:r>
        <w:rPr>
          <w:rFonts w:hint="default" w:ascii="Times New Roman" w:hAnsi="Times New Roman" w:cs="Times New Roman"/>
          <w:color w:val="auto"/>
          <w:highlight w:val="none"/>
          <w:lang w:val="en-US" w:eastAsia="zh-CN"/>
        </w:rPr>
        <w:t>和《石油化学工业污染物排放标准》GB31571-2015的</w:t>
      </w:r>
      <w:r>
        <w:rPr>
          <w:rFonts w:hint="default" w:ascii="Times New Roman" w:hAnsi="Times New Roman" w:cs="Times New Roman"/>
          <w:color w:val="auto"/>
          <w:highlight w:val="none"/>
        </w:rPr>
        <w:t>要求。</w:t>
      </w:r>
    </w:p>
    <w:p w14:paraId="2D9123F0">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固体废物环境影响</w:t>
      </w:r>
    </w:p>
    <w:p w14:paraId="6658B2D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生产线拆除期间的固体废弃物主要包括废弃、破碎的设备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生产线拆除下来的设备。即生产线拆除设备清单中的设备。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、管道、一般建筑垃圾等。</w:t>
      </w:r>
    </w:p>
    <w:p w14:paraId="418C4B2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设备拆除过程中预计产生的</w:t>
      </w:r>
      <w:r>
        <w:rPr>
          <w:rFonts w:hint="default" w:ascii="Times New Roman" w:hAnsi="Times New Roman" w:cs="Times New Roman"/>
          <w:color w:val="auto"/>
          <w:highlight w:val="none"/>
          <w:lang w:val="en-US" w:eastAsia="zh-CN"/>
        </w:rPr>
        <w:t>一般</w:t>
      </w:r>
      <w:r>
        <w:rPr>
          <w:rFonts w:hint="default" w:ascii="Times New Roman" w:hAnsi="Times New Roman" w:cs="Times New Roman"/>
          <w:color w:val="auto"/>
          <w:highlight w:val="none"/>
        </w:rPr>
        <w:t>固体废物</w:t>
      </w:r>
      <w:r>
        <w:rPr>
          <w:rFonts w:hint="default" w:ascii="Times New Roman" w:hAnsi="Times New Roman" w:cs="Times New Roman"/>
          <w:color w:val="auto"/>
          <w:highlight w:val="none"/>
          <w:lang w:val="en-US" w:eastAsia="zh-CN"/>
        </w:rPr>
        <w:t>为</w:t>
      </w:r>
      <w:r>
        <w:rPr>
          <w:rFonts w:hint="default" w:ascii="Times New Roman" w:hAnsi="Times New Roman" w:cs="Times New Roman"/>
          <w:color w:val="auto"/>
          <w:highlight w:val="none"/>
          <w:lang w:eastAsia="zh-CN"/>
        </w:rPr>
        <w:t>装置保温设备</w:t>
      </w:r>
      <w:r>
        <w:rPr>
          <w:rFonts w:hint="default" w:ascii="Times New Roman" w:hAnsi="Times New Roman" w:cs="Times New Roman"/>
          <w:color w:val="auto"/>
          <w:highlight w:val="none"/>
          <w:lang w:val="en-US" w:eastAsia="zh-CN"/>
        </w:rPr>
        <w:t>253台，外保温水泥块253*250kg=63.25吨，内保温253*100kg==25.3吨</w:t>
      </w:r>
      <w:r>
        <w:rPr>
          <w:rFonts w:hint="default" w:ascii="Times New Roman" w:hAnsi="Times New Roman" w:cs="Times New Roman"/>
          <w:color w:val="auto"/>
          <w:highlight w:val="none"/>
        </w:rPr>
        <w:t>，废弃物需分类管理、暂存，暂存堆放区域需具有符合GB 18599-2001的防渗措施，并设置围堰。贮存及转运过程不能出现遗撒和扬散。</w:t>
      </w:r>
    </w:p>
    <w:p w14:paraId="796E394C">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拆除过程中无危废产生。</w:t>
      </w:r>
    </w:p>
    <w:p w14:paraId="3A572C5D">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.3 </w:t>
      </w:r>
      <w:r>
        <w:rPr>
          <w:rFonts w:hint="default" w:ascii="Times New Roman" w:hAnsi="Times New Roman" w:cs="Times New Roman"/>
          <w:color w:val="auto"/>
          <w:highlight w:val="none"/>
        </w:rPr>
        <w:t>大气环境影响</w:t>
      </w:r>
    </w:p>
    <w:p w14:paraId="06AAEF57">
      <w:pPr>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8"/>
          <w:highlight w:val="none"/>
        </w:rPr>
        <w:t>2024年12月25日，</w:t>
      </w:r>
      <w:r>
        <w:rPr>
          <w:rFonts w:hint="default" w:ascii="Times New Roman" w:hAnsi="Times New Roman" w:cs="Times New Roman"/>
          <w:color w:val="auto"/>
          <w:szCs w:val="28"/>
          <w:highlight w:val="none"/>
          <w:lang w:val="en-US" w:eastAsia="zh-CN"/>
        </w:rPr>
        <w:t>已</w:t>
      </w:r>
      <w:r>
        <w:rPr>
          <w:rFonts w:hint="default" w:ascii="Times New Roman" w:hAnsi="Times New Roman" w:cs="Times New Roman"/>
          <w:color w:val="auto"/>
          <w:szCs w:val="28"/>
          <w:highlight w:val="none"/>
        </w:rPr>
        <w:t>完成设备拆除前的清洗置换，达到交付拆除条件</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设备拆除阶段不再进行设备吹扫置换工作。无废气产生。</w:t>
      </w:r>
    </w:p>
    <w:p w14:paraId="2DEFF844">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.4 </w:t>
      </w:r>
      <w:r>
        <w:rPr>
          <w:rFonts w:hint="default" w:ascii="Times New Roman" w:hAnsi="Times New Roman" w:cs="Times New Roman"/>
          <w:color w:val="auto"/>
          <w:highlight w:val="none"/>
        </w:rPr>
        <w:t>扬尘环境影响</w:t>
      </w:r>
    </w:p>
    <w:p w14:paraId="173D55A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生产线拆除期间的扬尘污染源主要有现场材料装卸及车辆运输时和施工拆除过程中扬尘。主要存在于设备、储罐、管道等拆除区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转移区和暂存区。</w:t>
      </w:r>
    </w:p>
    <w:p w14:paraId="64FCF120">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噪声环境影响</w:t>
      </w:r>
    </w:p>
    <w:p w14:paraId="153D8A5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生产线拆除期间的噪声污染源主要有脚手架、设备拆装施工噪声；管道、螺栓等切割噪声；现场材料装卸及车辆运输噪声。主要存在于设备、储罐、管道等拆除区和物料转移区。</w:t>
      </w:r>
    </w:p>
    <w:p w14:paraId="05864870">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.6 土壤</w:t>
      </w:r>
      <w:r>
        <w:rPr>
          <w:rFonts w:hint="default" w:ascii="Times New Roman" w:hAnsi="Times New Roman" w:cs="Times New Roman"/>
          <w:color w:val="auto"/>
          <w:highlight w:val="none"/>
        </w:rPr>
        <w:t>环境影响</w:t>
      </w:r>
    </w:p>
    <w:p w14:paraId="2269CC4B">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生产线拆除期间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如若未做好防渗措施，可能会导致污染物入渗至土壤，造成污染。现场可能涉及到的区域为设备集中拆解区、设备集中清洗区以及设备暂存区。根据资料及踏勘，现场均为水泥硬化，且设备集中拆解区、设备集中清洗区有较好的防渗措施，因此在成土壤污染的可能性较小。</w:t>
      </w:r>
    </w:p>
    <w:p w14:paraId="5A319AA4">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.7 地下水</w:t>
      </w:r>
      <w:r>
        <w:rPr>
          <w:rFonts w:hint="default" w:ascii="Times New Roman" w:hAnsi="Times New Roman" w:cs="Times New Roman"/>
          <w:color w:val="auto"/>
          <w:highlight w:val="none"/>
        </w:rPr>
        <w:t>环境影响</w:t>
      </w:r>
    </w:p>
    <w:p w14:paraId="6D875FC4">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color w:val="auto"/>
          <w:highlight w:val="none"/>
        </w:rPr>
        <w:t>生产线拆除期间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如若未做好防渗措施，可能会导致污染物下渗至地下水，造成污染。现场可能涉及到的区域为设备集中拆解区、设备集中清洗区以及设备暂存区。根据资料及踏勘，现场均为水泥硬化，且设备集中拆解区、设备集中清洗区有较好的防渗措施，因此在成地下水污染的可能性较小。</w:t>
      </w:r>
    </w:p>
    <w:p w14:paraId="1FB5366E">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 xml:space="preserve"> 设备拆除阶段环境风险源位置与污染来源</w:t>
      </w:r>
    </w:p>
    <w:tbl>
      <w:tblPr>
        <w:tblStyle w:val="29"/>
        <w:tblW w:w="57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73"/>
        <w:gridCol w:w="5114"/>
        <w:gridCol w:w="3692"/>
      </w:tblGrid>
      <w:tr w14:paraId="6AD5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tblHeader/>
          <w:jc w:val="center"/>
        </w:trPr>
        <w:tc>
          <w:tcPr>
            <w:tcW w:w="543" w:type="pct"/>
            <w:shd w:val="clear" w:color="auto" w:fill="auto"/>
            <w:vAlign w:val="center"/>
          </w:tcPr>
          <w:p w14:paraId="2AB067E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2588" w:type="pct"/>
            <w:shd w:val="clear" w:color="auto" w:fill="auto"/>
            <w:vAlign w:val="center"/>
          </w:tcPr>
          <w:p w14:paraId="10AA458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位置</w:t>
            </w:r>
          </w:p>
        </w:tc>
        <w:tc>
          <w:tcPr>
            <w:tcW w:w="1868" w:type="pct"/>
            <w:shd w:val="clear" w:color="auto" w:fill="auto"/>
            <w:vAlign w:val="center"/>
          </w:tcPr>
          <w:p w14:paraId="46E9280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来源</w:t>
            </w:r>
          </w:p>
        </w:tc>
      </w:tr>
      <w:tr w14:paraId="1D4A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3" w:type="pct"/>
            <w:shd w:val="clear" w:color="auto" w:fill="auto"/>
            <w:vAlign w:val="center"/>
          </w:tcPr>
          <w:p w14:paraId="6D76990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2588" w:type="pct"/>
            <w:shd w:val="clear" w:color="auto" w:fill="auto"/>
            <w:vAlign w:val="center"/>
          </w:tcPr>
          <w:p w14:paraId="561ABD8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反应釜、管线、各类储罐拆除点</w:t>
            </w:r>
          </w:p>
        </w:tc>
        <w:tc>
          <w:tcPr>
            <w:tcW w:w="1868" w:type="pct"/>
            <w:shd w:val="clear" w:color="auto" w:fill="auto"/>
            <w:vAlign w:val="center"/>
          </w:tcPr>
          <w:p w14:paraId="27A306EC">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冲洗废水；</w:t>
            </w:r>
          </w:p>
          <w:p w14:paraId="669D4CE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场地积水、雨水。</w:t>
            </w:r>
          </w:p>
        </w:tc>
      </w:tr>
      <w:tr w14:paraId="7AAE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3" w:type="pct"/>
            <w:shd w:val="clear" w:color="auto" w:fill="auto"/>
            <w:vAlign w:val="center"/>
          </w:tcPr>
          <w:p w14:paraId="67E5E42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tc>
        <w:tc>
          <w:tcPr>
            <w:tcW w:w="2588" w:type="pct"/>
            <w:shd w:val="clear" w:color="auto" w:fill="auto"/>
            <w:vAlign w:val="center"/>
          </w:tcPr>
          <w:p w14:paraId="0FC4EFF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装置保温设备</w:t>
            </w:r>
            <w:r>
              <w:rPr>
                <w:rFonts w:hint="default" w:ascii="Times New Roman" w:hAnsi="Times New Roman" w:cs="Times New Roman"/>
                <w:color w:val="auto"/>
                <w:highlight w:val="none"/>
              </w:rPr>
              <w:t>等拆除区</w:t>
            </w:r>
          </w:p>
        </w:tc>
        <w:tc>
          <w:tcPr>
            <w:tcW w:w="1868" w:type="pct"/>
            <w:shd w:val="clear" w:color="auto" w:fill="auto"/>
            <w:vAlign w:val="center"/>
          </w:tcPr>
          <w:p w14:paraId="154AC8A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废弃破碎的建筑设备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生产线拆除下来的设备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、管道和保温材料等；</w:t>
            </w:r>
          </w:p>
          <w:p w14:paraId="27A2984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一般建筑垃圾。</w:t>
            </w:r>
          </w:p>
        </w:tc>
      </w:tr>
      <w:tr w14:paraId="6B32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3" w:type="pct"/>
            <w:shd w:val="clear" w:color="auto" w:fill="auto"/>
            <w:vAlign w:val="center"/>
          </w:tcPr>
          <w:p w14:paraId="02EFDC2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扬尘</w:t>
            </w:r>
          </w:p>
        </w:tc>
        <w:tc>
          <w:tcPr>
            <w:tcW w:w="2588" w:type="pct"/>
            <w:shd w:val="clear" w:color="auto" w:fill="auto"/>
            <w:vAlign w:val="center"/>
          </w:tcPr>
          <w:p w14:paraId="256D472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设备、储罐、管道等拆除区</w:t>
            </w:r>
          </w:p>
          <w:p w14:paraId="21B1FE5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物料转移区</w:t>
            </w:r>
            <w:r>
              <w:rPr>
                <w:rFonts w:hint="eastAsia" w:cs="Times New Roman"/>
                <w:color w:val="auto"/>
                <w:highlight w:val="none"/>
                <w:lang w:eastAsia="zh-CN"/>
              </w:rPr>
              <w:t>、</w:t>
            </w:r>
            <w:r>
              <w:rPr>
                <w:rFonts w:hint="default" w:ascii="Times New Roman" w:hAnsi="Times New Roman" w:cs="Times New Roman"/>
                <w:color w:val="auto"/>
                <w:highlight w:val="none"/>
              </w:rPr>
              <w:t>暂存区</w:t>
            </w:r>
          </w:p>
        </w:tc>
        <w:tc>
          <w:tcPr>
            <w:tcW w:w="1868" w:type="pct"/>
            <w:shd w:val="clear" w:color="auto" w:fill="auto"/>
            <w:vAlign w:val="center"/>
          </w:tcPr>
          <w:p w14:paraId="60995A6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现场材料装卸及车辆运输时；</w:t>
            </w:r>
          </w:p>
          <w:p w14:paraId="0E8A1F5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施工拆除过程中。</w:t>
            </w:r>
          </w:p>
        </w:tc>
      </w:tr>
      <w:tr w14:paraId="3C88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3" w:type="pct"/>
            <w:shd w:val="clear" w:color="auto" w:fill="auto"/>
            <w:vAlign w:val="center"/>
          </w:tcPr>
          <w:p w14:paraId="51690FC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2588" w:type="pct"/>
            <w:shd w:val="clear" w:color="auto" w:fill="auto"/>
            <w:vAlign w:val="center"/>
          </w:tcPr>
          <w:p w14:paraId="11A7211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设备、储罐、管道等拆除区</w:t>
            </w:r>
          </w:p>
          <w:p w14:paraId="17890E6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物料转移区</w:t>
            </w:r>
          </w:p>
        </w:tc>
        <w:tc>
          <w:tcPr>
            <w:tcW w:w="1868" w:type="pct"/>
            <w:shd w:val="clear" w:color="auto" w:fill="auto"/>
            <w:vAlign w:val="center"/>
          </w:tcPr>
          <w:p w14:paraId="622E6C6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脚手架、设备拆装施工噪声；</w:t>
            </w:r>
          </w:p>
          <w:p w14:paraId="14B98C0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管道、螺栓等切割噪声；</w:t>
            </w:r>
          </w:p>
          <w:p w14:paraId="630440C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现场材料装卸及车辆运输噪声。</w:t>
            </w:r>
          </w:p>
        </w:tc>
      </w:tr>
      <w:tr w14:paraId="42B1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3" w:type="pct"/>
            <w:shd w:val="clear" w:color="auto" w:fill="auto"/>
            <w:vAlign w:val="center"/>
          </w:tcPr>
          <w:p w14:paraId="70A219DF">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土壤</w:t>
            </w:r>
          </w:p>
        </w:tc>
        <w:tc>
          <w:tcPr>
            <w:tcW w:w="2588" w:type="pct"/>
            <w:shd w:val="clear" w:color="auto" w:fill="auto"/>
            <w:vAlign w:val="center"/>
          </w:tcPr>
          <w:p w14:paraId="16E6497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设备集中拆解区、设备集中清洗区以及设备暂存区</w:t>
            </w:r>
          </w:p>
        </w:tc>
        <w:tc>
          <w:tcPr>
            <w:tcW w:w="1868" w:type="pct"/>
            <w:shd w:val="clear" w:color="auto" w:fill="auto"/>
            <w:vAlign w:val="center"/>
          </w:tcPr>
          <w:p w14:paraId="47F7B5D4">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设备拆除、冲洗</w:t>
            </w:r>
          </w:p>
        </w:tc>
      </w:tr>
      <w:tr w14:paraId="3A90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3" w:type="pct"/>
            <w:shd w:val="clear" w:color="auto" w:fill="auto"/>
            <w:vAlign w:val="center"/>
          </w:tcPr>
          <w:p w14:paraId="4B5EF6DC">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地下水</w:t>
            </w:r>
          </w:p>
        </w:tc>
        <w:tc>
          <w:tcPr>
            <w:tcW w:w="2588" w:type="pct"/>
            <w:shd w:val="clear" w:color="auto" w:fill="auto"/>
            <w:vAlign w:val="center"/>
          </w:tcPr>
          <w:p w14:paraId="04FD46C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设备集中拆解区、设备集中清洗区以及设备暂存区</w:t>
            </w:r>
          </w:p>
        </w:tc>
        <w:tc>
          <w:tcPr>
            <w:tcW w:w="1868" w:type="pct"/>
            <w:shd w:val="clear" w:color="auto" w:fill="auto"/>
            <w:vAlign w:val="center"/>
          </w:tcPr>
          <w:p w14:paraId="2A22B8B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设备拆除、冲洗</w:t>
            </w:r>
          </w:p>
        </w:tc>
      </w:tr>
    </w:tbl>
    <w:p w14:paraId="70D6B138">
      <w:pPr>
        <w:pStyle w:val="4"/>
        <w:rPr>
          <w:rFonts w:hint="default" w:ascii="Times New Roman" w:hAnsi="Times New Roman" w:cs="Times New Roman"/>
          <w:color w:val="auto"/>
          <w:highlight w:val="none"/>
        </w:rPr>
      </w:pPr>
      <w:bookmarkStart w:id="136" w:name="_Toc23760"/>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控制措施</w:t>
      </w:r>
      <w:bookmarkEnd w:id="133"/>
      <w:bookmarkEnd w:id="134"/>
      <w:bookmarkEnd w:id="135"/>
      <w:r>
        <w:rPr>
          <w:rFonts w:hint="default" w:ascii="Times New Roman" w:hAnsi="Times New Roman" w:cs="Times New Roman"/>
          <w:color w:val="auto"/>
          <w:highlight w:val="none"/>
        </w:rPr>
        <w:t>及要求</w:t>
      </w:r>
      <w:bookmarkEnd w:id="136"/>
    </w:p>
    <w:p w14:paraId="3F075849">
      <w:pPr>
        <w:rPr>
          <w:rFonts w:hint="default" w:ascii="Times New Roman" w:hAnsi="Times New Roman" w:cs="Times New Roman"/>
          <w:color w:val="auto"/>
          <w:highlight w:val="none"/>
        </w:rPr>
      </w:pP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kern w:val="0"/>
          <w:highlight w:val="none"/>
        </w:rPr>
        <w:t>HCFC-141b生产线</w:t>
      </w:r>
      <w:r>
        <w:rPr>
          <w:rFonts w:hint="default" w:ascii="Times New Roman" w:hAnsi="Times New Roman" w:cs="Times New Roman"/>
          <w:color w:val="auto"/>
          <w:highlight w:val="none"/>
        </w:rPr>
        <w:t>的拆除工程阶段中，主要涉及</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概况及处置方法的具体内容见表4</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w:t>
      </w:r>
    </w:p>
    <w:p w14:paraId="63A7491A">
      <w:pPr>
        <w:ind w:firstLine="0" w:firstLineChars="0"/>
        <w:rPr>
          <w:rFonts w:hint="default" w:ascii="Times New Roman" w:hAnsi="Times New Roman" w:cs="Times New Roman"/>
          <w:color w:val="auto"/>
          <w:highlight w:val="none"/>
        </w:rPr>
        <w:sectPr>
          <w:pgSz w:w="11906" w:h="16838"/>
          <w:pgMar w:top="1440" w:right="1800" w:bottom="1440" w:left="1800" w:header="794" w:footer="992" w:gutter="0"/>
          <w:pgNumType w:fmt="decimal"/>
          <w:cols w:space="425" w:num="1"/>
          <w:docGrid w:type="lines" w:linePitch="312" w:charSpace="0"/>
        </w:sectPr>
      </w:pPr>
    </w:p>
    <w:p w14:paraId="2D5B8682">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4</w:t>
      </w:r>
      <w:bookmarkStart w:id="137" w:name="_Hlk1574640"/>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 xml:space="preserve"> HCFC-141b生产线拆除阶段环境影响与污染缓解措施</w:t>
      </w:r>
      <w:bookmarkEnd w:id="137"/>
      <w:r>
        <w:rPr>
          <w:rFonts w:hint="default" w:ascii="Times New Roman" w:hAnsi="Times New Roman" w:cs="Times New Roman"/>
          <w:color w:val="auto"/>
          <w:highlight w:val="none"/>
        </w:rPr>
        <w:t>汇总</w:t>
      </w:r>
    </w:p>
    <w:tbl>
      <w:tblPr>
        <w:tblStyle w:val="29"/>
        <w:tblW w:w="51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47"/>
        <w:gridCol w:w="2195"/>
        <w:gridCol w:w="2988"/>
        <w:gridCol w:w="5826"/>
        <w:gridCol w:w="1796"/>
      </w:tblGrid>
      <w:tr w14:paraId="4CA8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48" w:hRule="atLeast"/>
          <w:tblHeader/>
          <w:jc w:val="center"/>
        </w:trPr>
        <w:tc>
          <w:tcPr>
            <w:tcW w:w="378" w:type="pct"/>
            <w:shd w:val="clear" w:color="auto" w:fill="auto"/>
            <w:vAlign w:val="center"/>
          </w:tcPr>
          <w:p w14:paraId="295B1F3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792" w:type="pct"/>
            <w:shd w:val="clear" w:color="auto" w:fill="auto"/>
            <w:vAlign w:val="center"/>
          </w:tcPr>
          <w:p w14:paraId="41CB947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工序/来源</w:t>
            </w:r>
          </w:p>
        </w:tc>
        <w:tc>
          <w:tcPr>
            <w:tcW w:w="1078" w:type="pct"/>
            <w:shd w:val="clear" w:color="auto" w:fill="auto"/>
            <w:vAlign w:val="center"/>
          </w:tcPr>
          <w:p w14:paraId="6762F1E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要求</w:t>
            </w:r>
          </w:p>
        </w:tc>
        <w:tc>
          <w:tcPr>
            <w:tcW w:w="2102" w:type="pct"/>
            <w:shd w:val="clear" w:color="auto" w:fill="auto"/>
            <w:vAlign w:val="center"/>
          </w:tcPr>
          <w:p w14:paraId="28F60B9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tc>
        <w:tc>
          <w:tcPr>
            <w:tcW w:w="648" w:type="pct"/>
            <w:shd w:val="clear" w:color="auto" w:fill="auto"/>
            <w:vAlign w:val="center"/>
          </w:tcPr>
          <w:p w14:paraId="3A3627A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监管内容</w:t>
            </w:r>
          </w:p>
        </w:tc>
      </w:tr>
      <w:tr w14:paraId="7306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378" w:type="pct"/>
            <w:shd w:val="clear" w:color="auto" w:fill="auto"/>
            <w:vAlign w:val="center"/>
          </w:tcPr>
          <w:p w14:paraId="15DD975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扬尘</w:t>
            </w:r>
          </w:p>
        </w:tc>
        <w:tc>
          <w:tcPr>
            <w:tcW w:w="792" w:type="pct"/>
            <w:shd w:val="clear" w:color="auto" w:fill="auto"/>
            <w:vAlign w:val="center"/>
          </w:tcPr>
          <w:p w14:paraId="4533737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现场材料装卸及车辆运输时；</w:t>
            </w:r>
          </w:p>
          <w:p w14:paraId="16CB4F2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施工拆除过程中。</w:t>
            </w:r>
          </w:p>
        </w:tc>
        <w:tc>
          <w:tcPr>
            <w:tcW w:w="1078" w:type="pct"/>
            <w:shd w:val="clear" w:color="auto" w:fill="auto"/>
            <w:vAlign w:val="center"/>
          </w:tcPr>
          <w:p w14:paraId="437C694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目测无明显扬尘，无遗洒；</w:t>
            </w:r>
          </w:p>
          <w:p w14:paraId="447731C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达到GB</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16297-1996颗粒物排放标准</w:t>
            </w:r>
          </w:p>
        </w:tc>
        <w:tc>
          <w:tcPr>
            <w:tcW w:w="2102" w:type="pct"/>
            <w:shd w:val="clear" w:color="auto" w:fill="auto"/>
            <w:vAlign w:val="center"/>
          </w:tcPr>
          <w:p w14:paraId="097F2CB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覆盖或密闭车辆运输、减缓倾倒速度，不得抛洒；</w:t>
            </w:r>
          </w:p>
          <w:p w14:paraId="13B0F75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现场洒水降尘处理。</w:t>
            </w:r>
          </w:p>
        </w:tc>
        <w:tc>
          <w:tcPr>
            <w:tcW w:w="648" w:type="pct"/>
            <w:shd w:val="clear" w:color="auto" w:fill="auto"/>
            <w:vAlign w:val="center"/>
          </w:tcPr>
          <w:p w14:paraId="3691582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现场观察及无组织监测</w:t>
            </w:r>
          </w:p>
        </w:tc>
      </w:tr>
      <w:tr w14:paraId="6E44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4" w:hRule="atLeast"/>
          <w:jc w:val="center"/>
        </w:trPr>
        <w:tc>
          <w:tcPr>
            <w:tcW w:w="378" w:type="pct"/>
            <w:shd w:val="clear" w:color="auto" w:fill="auto"/>
            <w:vAlign w:val="center"/>
          </w:tcPr>
          <w:p w14:paraId="318EAAC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一般固体废物</w:t>
            </w:r>
          </w:p>
        </w:tc>
        <w:tc>
          <w:tcPr>
            <w:tcW w:w="792" w:type="pct"/>
            <w:shd w:val="clear" w:color="auto" w:fill="auto"/>
            <w:vAlign w:val="center"/>
          </w:tcPr>
          <w:p w14:paraId="423CD25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废弃、破碎的设备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生产线拆下来的设备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、管道、保温材料、等，以及一般建筑垃圾；</w:t>
            </w:r>
          </w:p>
        </w:tc>
        <w:tc>
          <w:tcPr>
            <w:tcW w:w="1078" w:type="pct"/>
            <w:shd w:val="clear" w:color="auto" w:fill="auto"/>
            <w:vAlign w:val="center"/>
          </w:tcPr>
          <w:p w14:paraId="02139D7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废弃物分类管理、暂存、处置</w:t>
            </w:r>
          </w:p>
        </w:tc>
        <w:tc>
          <w:tcPr>
            <w:tcW w:w="2102" w:type="pct"/>
            <w:shd w:val="clear" w:color="auto" w:fill="auto"/>
            <w:vAlign w:val="center"/>
          </w:tcPr>
          <w:p w14:paraId="7121B5C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拆除活动应尽量减少固体废物的产生；</w:t>
            </w:r>
          </w:p>
          <w:p w14:paraId="1C97312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妥善收集遗留物，安全暂存后交由相关处置、回收单位处理。拆除设备中</w:t>
            </w:r>
            <w:r>
              <w:rPr>
                <w:rFonts w:hint="default" w:ascii="Times New Roman" w:hAnsi="Times New Roman" w:cs="Times New Roman"/>
                <w:color w:val="auto"/>
                <w:highlight w:val="none"/>
                <w:lang w:val="en-US" w:eastAsia="zh-CN"/>
              </w:rPr>
              <w:t>若还遗留</w:t>
            </w:r>
            <w:r>
              <w:rPr>
                <w:rFonts w:hint="default" w:ascii="Times New Roman" w:hAnsi="Times New Roman" w:cs="Times New Roman"/>
                <w:color w:val="auto"/>
                <w:highlight w:val="none"/>
              </w:rPr>
              <w:t>不流动的固体废物可借助原放空阀（口）或在适当位置开设物料放空口，采用人工或机械铲除的方式清除，必要时可采用溶液稀释或溶解，达到流动状态后放空；</w:t>
            </w:r>
          </w:p>
          <w:p w14:paraId="6E87910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暂存堆放场地</w:t>
            </w:r>
            <w:r>
              <w:rPr>
                <w:rFonts w:hint="default" w:ascii="Times New Roman" w:hAnsi="Times New Roman" w:cs="Times New Roman"/>
                <w:color w:val="auto"/>
                <w:highlight w:val="none"/>
                <w:lang w:val="en-US" w:eastAsia="zh-CN"/>
              </w:rPr>
              <w:t>地面</w:t>
            </w:r>
            <w:r>
              <w:rPr>
                <w:rFonts w:hint="default" w:ascii="Times New Roman" w:hAnsi="Times New Roman" w:cs="Times New Roman"/>
                <w:color w:val="auto"/>
                <w:highlight w:val="none"/>
              </w:rPr>
              <w:t>需硬化并设置围堰。</w:t>
            </w:r>
          </w:p>
        </w:tc>
        <w:tc>
          <w:tcPr>
            <w:tcW w:w="648" w:type="pct"/>
            <w:shd w:val="clear" w:color="auto" w:fill="auto"/>
            <w:vAlign w:val="center"/>
          </w:tcPr>
          <w:p w14:paraId="7D33E2B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环境监理单位名称：</w:t>
            </w:r>
            <w:r>
              <w:rPr>
                <w:rFonts w:hint="default" w:ascii="Times New Roman" w:hAnsi="Times New Roman" w:cs="Times New Roman"/>
                <w:color w:val="auto"/>
                <w:highlight w:val="none"/>
                <w:lang w:eastAsia="zh-CN"/>
              </w:rPr>
              <w:t>苏州环林誉环保科技有限公司</w:t>
            </w:r>
            <w:r>
              <w:rPr>
                <w:rFonts w:hint="default" w:ascii="Times New Roman" w:hAnsi="Times New Roman" w:cs="Times New Roman"/>
                <w:color w:val="auto"/>
                <w:highlight w:val="none"/>
              </w:rPr>
              <w:t>评估处置方案并检查实施概况</w:t>
            </w:r>
          </w:p>
        </w:tc>
      </w:tr>
      <w:tr w14:paraId="711B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4" w:hRule="atLeast"/>
          <w:jc w:val="center"/>
        </w:trPr>
        <w:tc>
          <w:tcPr>
            <w:tcW w:w="378" w:type="pct"/>
            <w:shd w:val="clear" w:color="auto" w:fill="auto"/>
            <w:vAlign w:val="center"/>
          </w:tcPr>
          <w:p w14:paraId="3A39CC9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792" w:type="pct"/>
            <w:shd w:val="clear" w:color="auto" w:fill="auto"/>
            <w:vAlign w:val="center"/>
          </w:tcPr>
          <w:p w14:paraId="39808406">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冲洗废水；</w:t>
            </w:r>
          </w:p>
          <w:p w14:paraId="53E53515">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现场积水、雨水</w:t>
            </w:r>
            <w:r>
              <w:rPr>
                <w:rFonts w:hint="default" w:ascii="Times New Roman" w:hAnsi="Times New Roman" w:cs="Times New Roman"/>
                <w:color w:val="auto"/>
                <w:highlight w:val="none"/>
              </w:rPr>
              <w:t>；</w:t>
            </w:r>
          </w:p>
        </w:tc>
        <w:tc>
          <w:tcPr>
            <w:tcW w:w="1078" w:type="pct"/>
            <w:shd w:val="clear" w:color="auto" w:fill="auto"/>
            <w:vAlign w:val="center"/>
          </w:tcPr>
          <w:p w14:paraId="2BD679D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达到</w:t>
            </w:r>
            <w:r>
              <w:rPr>
                <w:rFonts w:hint="default" w:ascii="Times New Roman" w:hAnsi="Times New Roman" w:cs="Times New Roman"/>
                <w:color w:val="auto"/>
                <w:highlight w:val="none"/>
                <w:lang w:eastAsia="zh-CN"/>
              </w:rPr>
              <w:t>常熟中法工业水处理有限公司污水接管标准</w:t>
            </w:r>
            <w:r>
              <w:rPr>
                <w:rFonts w:hint="eastAsia" w:cs="Times New Roman"/>
                <w:color w:val="auto"/>
                <w:highlight w:val="none"/>
                <w:lang w:eastAsia="zh-CN"/>
              </w:rPr>
              <w:t>、</w:t>
            </w:r>
            <w:r>
              <w:rPr>
                <w:rFonts w:hint="default" w:ascii="Times New Roman" w:hAnsi="Times New Roman" w:cs="Times New Roman"/>
                <w:color w:val="auto"/>
                <w:highlight w:val="none"/>
                <w:lang w:eastAsia="zh-CN"/>
              </w:rPr>
              <w:t>《石油化学工业污染物排放标准》(GB</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eastAsia="zh-CN"/>
              </w:rPr>
              <w:t>31571-2015)</w:t>
            </w:r>
            <w:r>
              <w:rPr>
                <w:rFonts w:hint="eastAsia" w:cs="Times New Roman"/>
                <w:color w:val="auto"/>
                <w:highlight w:val="none"/>
                <w:lang w:eastAsia="zh-CN"/>
              </w:rPr>
              <w:t>、《污水综合排放标准》（GB</w:t>
            </w:r>
            <w:r>
              <w:rPr>
                <w:rFonts w:hint="eastAsia" w:cs="Times New Roman"/>
                <w:color w:val="auto"/>
                <w:highlight w:val="none"/>
                <w:lang w:val="en-US" w:eastAsia="zh-CN"/>
              </w:rPr>
              <w:t xml:space="preserve"> </w:t>
            </w:r>
            <w:r>
              <w:rPr>
                <w:rFonts w:hint="eastAsia" w:cs="Times New Roman"/>
                <w:color w:val="auto"/>
                <w:highlight w:val="none"/>
                <w:lang w:eastAsia="zh-CN"/>
              </w:rPr>
              <w:t>8978-1996）</w:t>
            </w:r>
          </w:p>
        </w:tc>
        <w:tc>
          <w:tcPr>
            <w:tcW w:w="2102" w:type="pct"/>
            <w:shd w:val="clear" w:color="auto" w:fill="auto"/>
            <w:vAlign w:val="center"/>
          </w:tcPr>
          <w:p w14:paraId="08BE6E1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设备拆除阶段施工用水统一收集后由</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有限公司厂区内现污水处理站进行集中处理，禁止排放；收集运输过程注意防洒、防漏；</w:t>
            </w:r>
          </w:p>
          <w:p w14:paraId="358D82E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物料放空、拆解、清洗、临时堆放等区域，应设置适当的防雨、防渗、拦挡等隔离措施，必要时设置围堰，防止废水外溢或渗漏。</w:t>
            </w:r>
          </w:p>
        </w:tc>
        <w:tc>
          <w:tcPr>
            <w:tcW w:w="648" w:type="pct"/>
            <w:shd w:val="clear" w:color="auto" w:fill="auto"/>
            <w:vAlign w:val="center"/>
          </w:tcPr>
          <w:p w14:paraId="3A191A5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环境监理单位名称：</w:t>
            </w:r>
            <w:r>
              <w:rPr>
                <w:rFonts w:hint="default" w:ascii="Times New Roman" w:hAnsi="Times New Roman" w:cs="Times New Roman"/>
                <w:color w:val="auto"/>
                <w:highlight w:val="none"/>
                <w:lang w:eastAsia="zh-CN"/>
              </w:rPr>
              <w:t>苏州环林誉环保科技有限公司</w:t>
            </w:r>
            <w:r>
              <w:rPr>
                <w:rFonts w:hint="default" w:ascii="Times New Roman" w:hAnsi="Times New Roman" w:cs="Times New Roman"/>
                <w:color w:val="auto"/>
                <w:highlight w:val="none"/>
              </w:rPr>
              <w:t>现场观察及排放口监测</w:t>
            </w:r>
          </w:p>
        </w:tc>
      </w:tr>
      <w:tr w14:paraId="490D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378" w:type="pct"/>
            <w:shd w:val="clear" w:color="auto" w:fill="auto"/>
            <w:vAlign w:val="center"/>
          </w:tcPr>
          <w:p w14:paraId="1BE48E5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792" w:type="pct"/>
            <w:shd w:val="clear" w:color="auto" w:fill="auto"/>
            <w:vAlign w:val="center"/>
          </w:tcPr>
          <w:p w14:paraId="45E1D5D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脚手架、设备拆装施工噪声等。</w:t>
            </w:r>
          </w:p>
        </w:tc>
        <w:tc>
          <w:tcPr>
            <w:tcW w:w="1078" w:type="pct"/>
            <w:shd w:val="clear" w:color="auto" w:fill="auto"/>
            <w:vAlign w:val="center"/>
          </w:tcPr>
          <w:p w14:paraId="2E20566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达到GB</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12348-2008标准</w:t>
            </w:r>
          </w:p>
        </w:tc>
        <w:tc>
          <w:tcPr>
            <w:tcW w:w="2102" w:type="pct"/>
            <w:shd w:val="clear" w:color="auto" w:fill="auto"/>
            <w:vAlign w:val="center"/>
          </w:tcPr>
          <w:p w14:paraId="476FE51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选择适合的机械设备及工艺，减少现场切割次数；加强设备维护，夜间停止施工。</w:t>
            </w:r>
          </w:p>
        </w:tc>
        <w:tc>
          <w:tcPr>
            <w:tcW w:w="648" w:type="pct"/>
            <w:shd w:val="clear" w:color="auto" w:fill="auto"/>
            <w:vAlign w:val="center"/>
          </w:tcPr>
          <w:p w14:paraId="795DCCF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厂界监测</w:t>
            </w:r>
          </w:p>
        </w:tc>
      </w:tr>
      <w:tr w14:paraId="5555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378" w:type="pct"/>
            <w:shd w:val="clear" w:color="auto" w:fill="auto"/>
            <w:vAlign w:val="center"/>
          </w:tcPr>
          <w:p w14:paraId="579594AC">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土壤</w:t>
            </w:r>
          </w:p>
        </w:tc>
        <w:tc>
          <w:tcPr>
            <w:tcW w:w="792" w:type="pct"/>
            <w:shd w:val="clear" w:color="auto" w:fill="auto"/>
            <w:vAlign w:val="center"/>
          </w:tcPr>
          <w:p w14:paraId="6205930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施工拆除过程中</w:t>
            </w:r>
          </w:p>
        </w:tc>
        <w:tc>
          <w:tcPr>
            <w:tcW w:w="1078" w:type="pct"/>
            <w:shd w:val="clear" w:color="auto" w:fill="auto"/>
            <w:vAlign w:val="center"/>
          </w:tcPr>
          <w:p w14:paraId="552CBCDE">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达到GB 36600-2018二类用地</w:t>
            </w:r>
          </w:p>
        </w:tc>
        <w:tc>
          <w:tcPr>
            <w:tcW w:w="2102" w:type="pct"/>
            <w:shd w:val="clear" w:color="auto" w:fill="auto"/>
            <w:vAlign w:val="center"/>
          </w:tcPr>
          <w:p w14:paraId="7CCFB165">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做好施工场地的防渗，及时收集废水</w:t>
            </w:r>
          </w:p>
        </w:tc>
        <w:tc>
          <w:tcPr>
            <w:tcW w:w="648" w:type="pct"/>
            <w:shd w:val="clear" w:color="auto" w:fill="auto"/>
            <w:vAlign w:val="center"/>
          </w:tcPr>
          <w:p w14:paraId="3F7F2EA3">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拆除区布点监测</w:t>
            </w:r>
          </w:p>
        </w:tc>
      </w:tr>
      <w:tr w14:paraId="71B3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378" w:type="pct"/>
            <w:shd w:val="clear" w:color="auto" w:fill="auto"/>
            <w:vAlign w:val="center"/>
          </w:tcPr>
          <w:p w14:paraId="60F421AF">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地下水</w:t>
            </w:r>
          </w:p>
        </w:tc>
        <w:tc>
          <w:tcPr>
            <w:tcW w:w="792" w:type="pct"/>
            <w:shd w:val="clear" w:color="auto" w:fill="auto"/>
            <w:vAlign w:val="center"/>
          </w:tcPr>
          <w:p w14:paraId="57A635B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施工拆除过程中</w:t>
            </w:r>
          </w:p>
        </w:tc>
        <w:tc>
          <w:tcPr>
            <w:tcW w:w="1078" w:type="pct"/>
            <w:shd w:val="clear" w:color="auto" w:fill="auto"/>
            <w:vAlign w:val="center"/>
          </w:tcPr>
          <w:p w14:paraId="07602129">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达到GB/T 14848-2017</w:t>
            </w:r>
          </w:p>
        </w:tc>
        <w:tc>
          <w:tcPr>
            <w:tcW w:w="2102" w:type="pct"/>
            <w:shd w:val="clear" w:color="auto" w:fill="auto"/>
            <w:vAlign w:val="center"/>
          </w:tcPr>
          <w:p w14:paraId="67DDE4F7">
            <w:pPr>
              <w:pStyle w:val="45"/>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做好施工场地的防渗，及时收集废水</w:t>
            </w:r>
          </w:p>
        </w:tc>
        <w:tc>
          <w:tcPr>
            <w:tcW w:w="648" w:type="pct"/>
            <w:shd w:val="clear" w:color="auto" w:fill="auto"/>
            <w:vAlign w:val="center"/>
          </w:tcPr>
          <w:p w14:paraId="4EE2DBE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拆除区布点监测</w:t>
            </w:r>
          </w:p>
        </w:tc>
      </w:tr>
    </w:tbl>
    <w:p w14:paraId="6BFDFEDF">
      <w:pPr>
        <w:bidi w:val="0"/>
        <w:rPr>
          <w:rFonts w:hint="default" w:ascii="Times New Roman" w:hAnsi="Times New Roman" w:cs="Times New Roman"/>
          <w:color w:val="auto"/>
          <w:highlight w:val="none"/>
        </w:rPr>
        <w:sectPr>
          <w:pgSz w:w="16838" w:h="11906" w:orient="landscape"/>
          <w:pgMar w:top="1440" w:right="1800" w:bottom="1440" w:left="1800" w:header="851" w:footer="992" w:gutter="0"/>
          <w:pgNumType w:fmt="decimal"/>
          <w:cols w:space="425" w:num="1"/>
          <w:docGrid w:type="linesAndChars" w:linePitch="326" w:charSpace="0"/>
        </w:sectPr>
      </w:pPr>
    </w:p>
    <w:p w14:paraId="072BDFE6">
      <w:pPr>
        <w:pStyle w:val="4"/>
        <w:rPr>
          <w:rFonts w:hint="default" w:ascii="Times New Roman" w:hAnsi="Times New Roman" w:cs="Times New Roman"/>
          <w:color w:val="auto"/>
          <w:highlight w:val="none"/>
        </w:rPr>
      </w:pPr>
      <w:bookmarkStart w:id="138" w:name="_Toc21086"/>
      <w:bookmarkStart w:id="139" w:name="_Toc406099708"/>
      <w:bookmarkStart w:id="140" w:name="_Toc406099832"/>
      <w:bookmarkStart w:id="141" w:name="_Toc406099556"/>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设备转移操作及注意事项</w:t>
      </w:r>
      <w:bookmarkEnd w:id="138"/>
    </w:p>
    <w:p w14:paraId="377C621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针对上述对环境及人体健康造成影响的储存设备的拆卸转移需由项目业主根据企业的环境保护管理制度、安全规章制度，并综合考虑拆除设备的处置方案（转移备用或者破坏处理、丢弃）来进行环境风险管理，做到安全运输相关设备、物料等。</w:t>
      </w:r>
    </w:p>
    <w:p w14:paraId="72334627">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生产线停产后不涉及危险化学品的转移。含有机卤化物废物和含有机卤化物废物（吸附剂分子筛）</w:t>
      </w:r>
      <w:r>
        <w:rPr>
          <w:rFonts w:hint="eastAsia" w:cs="Times New Roman"/>
          <w:color w:val="auto"/>
          <w:highlight w:val="none"/>
          <w:lang w:val="en-US" w:eastAsia="zh-CN"/>
        </w:rPr>
        <w:t>等</w:t>
      </w:r>
      <w:r>
        <w:rPr>
          <w:rFonts w:hint="default" w:ascii="Times New Roman" w:hAnsi="Times New Roman" w:cs="Times New Roman"/>
          <w:color w:val="auto"/>
          <w:highlight w:val="none"/>
          <w:lang w:val="en-US" w:eastAsia="zh-CN"/>
        </w:rPr>
        <w:t>危险废物均已通过有资质单位在设备拆除前就进行了转移处置。</w:t>
      </w:r>
    </w:p>
    <w:p w14:paraId="19BD9DCF">
      <w:pPr>
        <w:pStyle w:val="3"/>
        <w:rPr>
          <w:rFonts w:hint="default" w:ascii="Times New Roman" w:hAnsi="Times New Roman" w:cs="Times New Roman"/>
          <w:color w:val="auto"/>
          <w:highlight w:val="none"/>
        </w:rPr>
      </w:pPr>
      <w:bookmarkStart w:id="142" w:name="_Toc2818"/>
      <w:r>
        <w:rPr>
          <w:rFonts w:hint="default" w:ascii="Times New Roman" w:hAnsi="Times New Roman" w:cs="Times New Roman"/>
          <w:color w:val="auto"/>
          <w:highlight w:val="none"/>
          <w:lang w:val="en-US" w:eastAsia="zh-CN"/>
        </w:rPr>
        <w:t xml:space="preserve">4.3 </w:t>
      </w:r>
      <w:r>
        <w:rPr>
          <w:rFonts w:hint="default" w:ascii="Times New Roman" w:hAnsi="Times New Roman" w:cs="Times New Roman"/>
          <w:color w:val="auto"/>
          <w:highlight w:val="none"/>
        </w:rPr>
        <w:t>项目区环境管理分区</w:t>
      </w:r>
      <w:bookmarkEnd w:id="139"/>
      <w:bookmarkEnd w:id="140"/>
      <w:bookmarkEnd w:id="141"/>
      <w:bookmarkEnd w:id="142"/>
      <w:bookmarkStart w:id="143" w:name="_Toc406099833"/>
      <w:bookmarkStart w:id="144" w:name="_Toc406099557"/>
      <w:bookmarkStart w:id="145" w:name="_Toc406099709"/>
    </w:p>
    <w:p w14:paraId="4F57ED6B">
      <w:pPr>
        <w:pStyle w:val="4"/>
        <w:rPr>
          <w:rFonts w:hint="default" w:ascii="Times New Roman" w:hAnsi="Times New Roman" w:cs="Times New Roman"/>
          <w:color w:val="auto"/>
          <w:highlight w:val="none"/>
        </w:rPr>
      </w:pPr>
      <w:bookmarkStart w:id="146" w:name="_Toc2393"/>
      <w:r>
        <w:rPr>
          <w:rFonts w:hint="default" w:ascii="Times New Roman" w:hAnsi="Times New Roman" w:cs="Times New Roman"/>
          <w:color w:val="auto"/>
          <w:highlight w:val="none"/>
          <w:lang w:val="en-US" w:eastAsia="zh-CN"/>
        </w:rPr>
        <w:t xml:space="preserve">4.3.1 </w:t>
      </w:r>
      <w:r>
        <w:rPr>
          <w:rFonts w:hint="default" w:ascii="Times New Roman" w:hAnsi="Times New Roman" w:cs="Times New Roman"/>
          <w:color w:val="auto"/>
          <w:highlight w:val="none"/>
        </w:rPr>
        <w:t>分区概述</w:t>
      </w:r>
      <w:bookmarkEnd w:id="143"/>
      <w:bookmarkEnd w:id="144"/>
      <w:bookmarkEnd w:id="145"/>
      <w:bookmarkEnd w:id="146"/>
    </w:p>
    <w:p w14:paraId="6E5175E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本项目拆除阶段的分区是依托原有的生产布局进行划分的，具体划分区域图以及分区简介如下。</w:t>
      </w:r>
    </w:p>
    <w:p w14:paraId="4C5E7E29">
      <w:pPr>
        <w:pStyle w:val="2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drawing>
          <wp:inline distT="0" distB="0" distL="114300" distR="114300">
            <wp:extent cx="5255895" cy="3140075"/>
            <wp:effectExtent l="9525" t="9525" r="11430" b="1270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6"/>
                    <a:stretch>
                      <a:fillRect/>
                    </a:stretch>
                  </pic:blipFill>
                  <pic:spPr>
                    <a:xfrm>
                      <a:off x="0" y="0"/>
                      <a:ext cx="5255895" cy="3140075"/>
                    </a:xfrm>
                    <a:prstGeom prst="rect">
                      <a:avLst/>
                    </a:prstGeom>
                    <a:noFill/>
                    <a:ln>
                      <a:solidFill>
                        <a:schemeClr val="tx1"/>
                      </a:solidFill>
                    </a:ln>
                  </pic:spPr>
                </pic:pic>
              </a:graphicData>
            </a:graphic>
          </wp:inline>
        </w:drawing>
      </w:r>
    </w:p>
    <w:p w14:paraId="477ED609">
      <w:pPr>
        <w:pStyle w:val="4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 4.3-1 项目环境管理分区示意图</w:t>
      </w:r>
    </w:p>
    <w:p w14:paraId="2D762BAA">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4.3.1.1 </w:t>
      </w:r>
      <w:r>
        <w:rPr>
          <w:rFonts w:hint="default" w:ascii="Times New Roman" w:hAnsi="Times New Roman" w:cs="Times New Roman"/>
          <w:color w:val="auto"/>
          <w:highlight w:val="none"/>
        </w:rPr>
        <w:t>设备集中</w:t>
      </w:r>
      <w:r>
        <w:rPr>
          <w:rFonts w:hint="default" w:ascii="Times New Roman" w:hAnsi="Times New Roman" w:cs="Times New Roman"/>
          <w:color w:val="auto"/>
          <w:highlight w:val="none"/>
          <w:lang w:val="en-US" w:eastAsia="zh-CN"/>
        </w:rPr>
        <w:t>拆解</w:t>
      </w:r>
      <w:r>
        <w:rPr>
          <w:rFonts w:hint="default" w:ascii="Times New Roman" w:hAnsi="Times New Roman" w:cs="Times New Roman"/>
          <w:color w:val="auto"/>
          <w:highlight w:val="none"/>
        </w:rPr>
        <w:t>区</w:t>
      </w:r>
    </w:p>
    <w:p w14:paraId="74B84655">
      <w:pPr>
        <w:rPr>
          <w:rFonts w:hint="default" w:ascii="Times New Roman" w:hAnsi="Times New Roman" w:cs="Times New Roman"/>
          <w:color w:val="auto"/>
          <w:highlight w:val="none"/>
        </w:rPr>
      </w:pPr>
      <w:r>
        <w:rPr>
          <w:rFonts w:hint="default" w:ascii="Times New Roman" w:hAnsi="Times New Roman" w:cs="Times New Roman"/>
          <w:color w:val="auto"/>
          <w:highlight w:val="none"/>
        </w:rPr>
        <w:t>设立集中拆解区域，</w:t>
      </w:r>
      <w:r>
        <w:rPr>
          <w:rFonts w:hint="default" w:ascii="Times New Roman" w:hAnsi="Times New Roman" w:cs="Times New Roman"/>
          <w:color w:val="auto"/>
          <w:highlight w:val="none"/>
          <w:lang w:val="en-US" w:eastAsia="zh-CN"/>
        </w:rPr>
        <w:t>约691m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需要现场拆解的遗留设备尽量移至该区域进行拆解。本项目设备集中拆解区为HCFC-141b</w:t>
      </w:r>
      <w:r>
        <w:rPr>
          <w:rFonts w:hint="default" w:ascii="Times New Roman" w:hAnsi="Times New Roman" w:cs="Times New Roman"/>
          <w:color w:val="auto"/>
          <w:highlight w:val="none"/>
          <w:lang w:val="en-US" w:eastAsia="zh-CN"/>
        </w:rPr>
        <w:t>生产装置车间西侧</w:t>
      </w:r>
      <w:r>
        <w:rPr>
          <w:rFonts w:hint="default" w:ascii="Times New Roman" w:hAnsi="Times New Roman" w:cs="Times New Roman"/>
          <w:color w:val="auto"/>
          <w:highlight w:val="none"/>
        </w:rPr>
        <w:t>。</w:t>
      </w:r>
    </w:p>
    <w:p w14:paraId="0D830C70">
      <w:pPr>
        <w:rPr>
          <w:rFonts w:hint="default" w:ascii="Times New Roman" w:hAnsi="Times New Roman" w:cs="Times New Roman"/>
          <w:color w:val="auto"/>
          <w:highlight w:val="none"/>
        </w:rPr>
      </w:pPr>
      <w:r>
        <w:rPr>
          <w:rFonts w:hint="default" w:ascii="Times New Roman" w:hAnsi="Times New Roman" w:cs="Times New Roman"/>
          <w:color w:val="auto"/>
          <w:highlight w:val="none"/>
        </w:rPr>
        <w:t>防渗层采用土工布，上铺设2mm厚高密度聚乙烯。并在周围设置围堰，可有效的防止由于污染物的渗漏造成土壤及地下水的污染。</w:t>
      </w:r>
    </w:p>
    <w:p w14:paraId="02A38796">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4.3.1.2 </w:t>
      </w:r>
      <w:r>
        <w:rPr>
          <w:rFonts w:hint="default" w:ascii="Times New Roman" w:hAnsi="Times New Roman" w:cs="Times New Roman"/>
          <w:color w:val="auto"/>
          <w:highlight w:val="none"/>
        </w:rPr>
        <w:t>设备集中清洗区</w:t>
      </w:r>
    </w:p>
    <w:p w14:paraId="685BAB6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依托原有</w:t>
      </w:r>
      <w:r>
        <w:rPr>
          <w:rFonts w:hint="default" w:ascii="Times New Roman" w:hAnsi="Times New Roman" w:cs="Times New Roman"/>
          <w:color w:val="auto"/>
          <w:highlight w:val="none"/>
          <w:lang w:val="en-US" w:eastAsia="zh-CN"/>
        </w:rPr>
        <w:t>生产装置</w:t>
      </w:r>
      <w:r>
        <w:rPr>
          <w:rFonts w:hint="default" w:ascii="Times New Roman" w:hAnsi="Times New Roman" w:cs="Times New Roman"/>
          <w:color w:val="auto"/>
          <w:highlight w:val="none"/>
        </w:rPr>
        <w:t>所在区域设立集中清洗区，</w:t>
      </w:r>
      <w:r>
        <w:rPr>
          <w:rFonts w:hint="default" w:ascii="Times New Roman" w:hAnsi="Times New Roman" w:cs="Times New Roman"/>
          <w:color w:val="auto"/>
          <w:highlight w:val="none"/>
          <w:lang w:val="en-US" w:eastAsia="zh-CN"/>
        </w:rPr>
        <w:t>约1706m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利用原有设施和临时管线收集清洗废水。本项目设备集中</w:t>
      </w:r>
      <w:r>
        <w:rPr>
          <w:rFonts w:hint="default" w:ascii="Times New Roman" w:hAnsi="Times New Roman" w:cs="Times New Roman"/>
          <w:color w:val="auto"/>
          <w:highlight w:val="none"/>
          <w:lang w:val="en-US" w:eastAsia="zh-CN"/>
        </w:rPr>
        <w:t>清洗区</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原</w:t>
      </w:r>
      <w:r>
        <w:rPr>
          <w:rFonts w:hint="default" w:ascii="Times New Roman" w:hAnsi="Times New Roman" w:cs="Times New Roman"/>
          <w:color w:val="auto"/>
          <w:highlight w:val="none"/>
        </w:rPr>
        <w:t>HCFC-141b</w:t>
      </w:r>
      <w:r>
        <w:rPr>
          <w:rFonts w:hint="default" w:ascii="Times New Roman" w:hAnsi="Times New Roman" w:cs="Times New Roman"/>
          <w:color w:val="auto"/>
          <w:highlight w:val="none"/>
          <w:lang w:val="en-US" w:eastAsia="zh-CN"/>
        </w:rPr>
        <w:t>生产装置区</w:t>
      </w:r>
      <w:r>
        <w:rPr>
          <w:rFonts w:hint="default" w:ascii="Times New Roman" w:hAnsi="Times New Roman" w:cs="Times New Roman"/>
          <w:color w:val="auto"/>
          <w:highlight w:val="none"/>
        </w:rPr>
        <w:t>。清洗废水统一收集后利用</w:t>
      </w:r>
      <w:r>
        <w:rPr>
          <w:rFonts w:hint="default" w:ascii="Times New Roman" w:hAnsi="Times New Roman" w:cs="Times New Roman"/>
          <w:color w:val="auto"/>
          <w:highlight w:val="none"/>
          <w:lang w:val="en-US" w:eastAsia="zh-CN"/>
        </w:rPr>
        <w:t>公司污水处理站</w:t>
      </w:r>
      <w:r>
        <w:rPr>
          <w:rFonts w:hint="default" w:ascii="Times New Roman" w:hAnsi="Times New Roman" w:cs="Times New Roman"/>
          <w:color w:val="auto"/>
          <w:highlight w:val="none"/>
        </w:rPr>
        <w:t>现有污水处理系统对清洗废水进行物化处理，达到接管标准后排入园区污水处理厂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常熟中法工业水处理有限公司）</w:t>
      </w:r>
      <w:r>
        <w:rPr>
          <w:rFonts w:hint="default" w:ascii="Times New Roman" w:hAnsi="Times New Roman" w:cs="Times New Roman"/>
          <w:color w:val="auto"/>
          <w:highlight w:val="none"/>
        </w:rPr>
        <w:t>。禁止任意排放；收集运输过程注意防洒、防漏</w:t>
      </w:r>
    </w:p>
    <w:p w14:paraId="058DE6A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防渗层采用土工布上铺设2mm厚高密度聚乙烯。并在周围设置围堰，可有效的防止由于污染物的渗漏造成土壤及地下水的污染。</w:t>
      </w:r>
    </w:p>
    <w:p w14:paraId="6128DCB6">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4.3.1.3</w:t>
      </w:r>
      <w:r>
        <w:rPr>
          <w:rFonts w:hint="default" w:ascii="Times New Roman" w:hAnsi="Times New Roman" w:cs="Times New Roman"/>
          <w:color w:val="auto"/>
          <w:highlight w:val="none"/>
        </w:rPr>
        <w:t>临时贮存区</w:t>
      </w:r>
    </w:p>
    <w:p w14:paraId="33B9A0A3">
      <w:pPr>
        <w:rPr>
          <w:rFonts w:hint="default" w:ascii="Times New Roman" w:hAnsi="Times New Roman" w:cs="Times New Roman"/>
          <w:color w:val="auto"/>
          <w:highlight w:val="none"/>
        </w:rPr>
      </w:pPr>
      <w:r>
        <w:rPr>
          <w:rFonts w:hint="default" w:ascii="Times New Roman" w:hAnsi="Times New Roman" w:cs="Times New Roman"/>
          <w:color w:val="auto"/>
          <w:highlight w:val="none"/>
        </w:rPr>
        <w:t>临时贮存区</w:t>
      </w:r>
      <w:r>
        <w:rPr>
          <w:rFonts w:hint="default" w:ascii="Times New Roman" w:hAnsi="Times New Roman" w:cs="Times New Roman"/>
          <w:color w:val="auto"/>
          <w:highlight w:val="none"/>
          <w:lang w:val="en-US" w:eastAsia="zh-CN"/>
        </w:rPr>
        <w:t>约314m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是在拆除活动现场临时贮存的遗留物料、固体废物、污染土壤和疑似污染土壤等。依托具有防淋溶、防渗、防逸散等条件的区域，划定临时贮存区，分类贮存。每个进入临时贮存的人员必须着装强制性保护装备。</w:t>
      </w:r>
    </w:p>
    <w:p w14:paraId="789D799C">
      <w:pP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本项目临时贮存为HCFC-141b</w:t>
      </w:r>
      <w:r>
        <w:rPr>
          <w:rFonts w:hint="default" w:ascii="Times New Roman" w:hAnsi="Times New Roman" w:cs="Times New Roman"/>
          <w:color w:val="auto"/>
          <w:highlight w:val="none"/>
          <w:lang w:val="en-US" w:eastAsia="zh-CN"/>
        </w:rPr>
        <w:t>生产装置区与辅助冷冻车间之间，设备集中拆解区南侧</w:t>
      </w:r>
      <w:r>
        <w:rPr>
          <w:rFonts w:hint="default" w:ascii="Times New Roman" w:hAnsi="Times New Roman" w:cs="Times New Roman"/>
          <w:color w:val="auto"/>
          <w:highlight w:val="none"/>
        </w:rPr>
        <w:t>。在该区域分类存放本环境管理计划上文中说明的物料转移、设备拆除期间的一般工业固废。</w:t>
      </w:r>
    </w:p>
    <w:p w14:paraId="6416429C">
      <w:pPr>
        <w:rPr>
          <w:rFonts w:hint="default" w:ascii="Times New Roman" w:hAnsi="Times New Roman" w:cs="Times New Roman"/>
          <w:color w:val="auto"/>
          <w:highlight w:val="none"/>
        </w:rPr>
      </w:pPr>
      <w:r>
        <w:rPr>
          <w:rFonts w:hint="default" w:ascii="Times New Roman" w:hAnsi="Times New Roman" w:cs="Times New Roman"/>
          <w:color w:val="auto"/>
          <w:highlight w:val="none"/>
        </w:rPr>
        <w:t>防渗层采用土工布上铺设2mm厚高密度聚乙烯。并在周围设置围堰，可有效的防止由于污染物的渗漏造成土壤及地下水的污染。</w:t>
      </w:r>
    </w:p>
    <w:p w14:paraId="7F175D7A">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4.3.1.4</w:t>
      </w:r>
      <w:r>
        <w:rPr>
          <w:rFonts w:hint="default" w:ascii="Times New Roman" w:hAnsi="Times New Roman" w:cs="Times New Roman"/>
          <w:color w:val="auto"/>
          <w:highlight w:val="none"/>
        </w:rPr>
        <w:t>污染清除区</w:t>
      </w:r>
    </w:p>
    <w:p w14:paraId="21B2A13F">
      <w:pPr>
        <w:rPr>
          <w:rFonts w:hint="default" w:ascii="Times New Roman" w:hAnsi="Times New Roman" w:cs="Times New Roman"/>
          <w:color w:val="auto"/>
          <w:highlight w:val="none"/>
        </w:rPr>
      </w:pPr>
      <w:r>
        <w:rPr>
          <w:rFonts w:hint="default" w:ascii="Times New Roman" w:hAnsi="Times New Roman" w:cs="Times New Roman"/>
          <w:color w:val="auto"/>
          <w:highlight w:val="none"/>
        </w:rPr>
        <w:t>污染清除区</w:t>
      </w:r>
      <w:r>
        <w:rPr>
          <w:rFonts w:hint="default" w:ascii="Times New Roman" w:hAnsi="Times New Roman" w:cs="Times New Roman"/>
          <w:color w:val="auto"/>
          <w:highlight w:val="none"/>
          <w:lang w:val="en-US" w:eastAsia="zh-CN"/>
        </w:rPr>
        <w:t>约111m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是指建立在设备拆除区、清洗区与辅助区之间的区域。在这个区域内，每个人将开始进行连续净化流程，防止污染物场外迁移，以及为执行工作人员问责制，每个进出设备拆除区、清洗区的人员必须通过污染清除区。</w:t>
      </w:r>
    </w:p>
    <w:p w14:paraId="64B2921B">
      <w:pPr>
        <w:rPr>
          <w:rFonts w:hint="default" w:ascii="Times New Roman" w:hAnsi="Times New Roman" w:cs="Times New Roman"/>
          <w:color w:val="auto"/>
          <w:highlight w:val="none"/>
        </w:rPr>
      </w:pPr>
      <w:r>
        <w:rPr>
          <w:rFonts w:hint="default" w:ascii="Times New Roman" w:hAnsi="Times New Roman" w:cs="Times New Roman"/>
          <w:color w:val="auto"/>
          <w:highlight w:val="none"/>
        </w:rPr>
        <w:t>本次项目污染清除区是设备拆除区、清洗区连接辅助区的唯一入口，并由专人进行进出入登记、检查工作。</w:t>
      </w:r>
    </w:p>
    <w:p w14:paraId="4B143995">
      <w:pPr>
        <w:rPr>
          <w:rFonts w:hint="default" w:ascii="Times New Roman" w:hAnsi="Times New Roman" w:cs="Times New Roman"/>
          <w:color w:val="auto"/>
          <w:highlight w:val="none"/>
        </w:rPr>
      </w:pPr>
      <w:r>
        <w:rPr>
          <w:rFonts w:hint="default" w:ascii="Times New Roman" w:hAnsi="Times New Roman" w:cs="Times New Roman"/>
          <w:color w:val="auto"/>
          <w:highlight w:val="none"/>
        </w:rPr>
        <w:t>防渗层采用土工布上铺设2mm厚高密度聚乙烯。并在周围设置围堰，可有效的防止由于污染物的渗漏造成土壤及地下水的污染。</w:t>
      </w:r>
    </w:p>
    <w:p w14:paraId="359A351A">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4.3.1.5 </w:t>
      </w:r>
      <w:r>
        <w:rPr>
          <w:rFonts w:hint="default" w:ascii="Times New Roman" w:hAnsi="Times New Roman" w:cs="Times New Roman"/>
          <w:color w:val="auto"/>
          <w:highlight w:val="none"/>
        </w:rPr>
        <w:t>辅助区</w:t>
      </w:r>
    </w:p>
    <w:p w14:paraId="7FBE4C21">
      <w:pPr>
        <w:rPr>
          <w:rFonts w:hint="default" w:ascii="Times New Roman" w:hAnsi="Times New Roman" w:cs="Times New Roman"/>
          <w:color w:val="auto"/>
          <w:highlight w:val="none"/>
        </w:rPr>
      </w:pPr>
      <w:r>
        <w:rPr>
          <w:rFonts w:hint="default" w:ascii="Times New Roman" w:hAnsi="Times New Roman" w:cs="Times New Roman"/>
          <w:color w:val="auto"/>
          <w:highlight w:val="none"/>
        </w:rPr>
        <w:t>辅助区</w:t>
      </w:r>
      <w:r>
        <w:rPr>
          <w:rFonts w:hint="default" w:ascii="Times New Roman" w:hAnsi="Times New Roman" w:cs="Times New Roman"/>
          <w:color w:val="auto"/>
          <w:highlight w:val="none"/>
          <w:lang w:val="en-US" w:eastAsia="zh-CN"/>
        </w:rPr>
        <w:t>约137m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作为一个清洁、可控区域，所有运行辅助设备都将安置于本区，正常的工作服装及辅助装备也都将存放于本区域。从辅助区进入到污染清除区及隔离区必须有明确标志的进入控制点，该控制点受项目业主现场环境经理以及承包商相关管理人员的监督管理。此外，辅助区还应用于停放施工车辆和接受来访者等工作。</w:t>
      </w:r>
    </w:p>
    <w:p w14:paraId="10732AB5">
      <w:pPr>
        <w:pStyle w:val="4"/>
        <w:rPr>
          <w:rFonts w:hint="default" w:ascii="Times New Roman" w:hAnsi="Times New Roman" w:cs="Times New Roman"/>
          <w:color w:val="auto"/>
          <w:highlight w:val="none"/>
        </w:rPr>
      </w:pPr>
      <w:bookmarkStart w:id="147" w:name="_Toc406099710"/>
      <w:bookmarkStart w:id="148" w:name="_Toc406099558"/>
      <w:bookmarkStart w:id="149" w:name="_Toc406099834"/>
      <w:bookmarkStart w:id="150" w:name="_Toc30973"/>
      <w:r>
        <w:rPr>
          <w:rFonts w:hint="default" w:ascii="Times New Roman" w:hAnsi="Times New Roman" w:cs="Times New Roman"/>
          <w:color w:val="auto"/>
          <w:highlight w:val="none"/>
          <w:lang w:val="en-US" w:eastAsia="zh-CN"/>
        </w:rPr>
        <w:t xml:space="preserve">4.3.2 </w:t>
      </w:r>
      <w:r>
        <w:rPr>
          <w:rFonts w:hint="default" w:ascii="Times New Roman" w:hAnsi="Times New Roman" w:cs="Times New Roman"/>
          <w:color w:val="auto"/>
          <w:highlight w:val="none"/>
        </w:rPr>
        <w:t>一般性要求</w:t>
      </w:r>
      <w:bookmarkEnd w:id="147"/>
      <w:bookmarkEnd w:id="148"/>
      <w:bookmarkEnd w:id="149"/>
      <w:bookmarkEnd w:id="150"/>
    </w:p>
    <w:p w14:paraId="6497A44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业主办公区，应存有每个进入场地工作的人员记录文件，该文件记录了时间、姓名、公司或机构，以及场地进出时间；如有拜访者，在未经过防护培训的情况下不得进入到隔离区，且必须登记，拜访者应自带个人防护装备，避免受到现场环境相关废弃物的影响并注意以下几点：</w:t>
      </w:r>
    </w:p>
    <w:p w14:paraId="53FEDF39">
      <w:pPr>
        <w:keepNext w:val="0"/>
        <w:keepLines w:val="0"/>
        <w:pageBreakBefore w:val="0"/>
        <w:widowControl w:val="0"/>
        <w:numPr>
          <w:ilvl w:val="0"/>
          <w:numId w:val="1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隔离区与污染清除区内禁止饮食、饮水、嚼口香糖或吸烟等行为；</w:t>
      </w:r>
    </w:p>
    <w:p w14:paraId="408D7516">
      <w:pPr>
        <w:keepNext w:val="0"/>
        <w:keepLines w:val="0"/>
        <w:pageBreakBefore w:val="0"/>
        <w:widowControl w:val="0"/>
        <w:numPr>
          <w:ilvl w:val="0"/>
          <w:numId w:val="1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离开场地之前必须严格执行污染净化程序；</w:t>
      </w:r>
    </w:p>
    <w:p w14:paraId="2DC35ECC">
      <w:pPr>
        <w:keepNext w:val="0"/>
        <w:keepLines w:val="0"/>
        <w:pageBreakBefore w:val="0"/>
        <w:widowControl w:val="0"/>
        <w:numPr>
          <w:ilvl w:val="0"/>
          <w:numId w:val="1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离开隔离区后，应将脸部及手清洗干净。</w:t>
      </w:r>
    </w:p>
    <w:p w14:paraId="75CF9E24">
      <w:pPr>
        <w:pStyle w:val="3"/>
        <w:bidi w:val="0"/>
        <w:rPr>
          <w:rFonts w:hint="default" w:ascii="Times New Roman" w:hAnsi="Times New Roman" w:cs="Times New Roman"/>
          <w:color w:val="auto"/>
          <w:highlight w:val="none"/>
        </w:rPr>
      </w:pPr>
      <w:bookmarkStart w:id="151" w:name="_Toc406099559"/>
      <w:bookmarkStart w:id="152" w:name="_Toc406099835"/>
      <w:bookmarkStart w:id="153" w:name="_Toc406099711"/>
      <w:bookmarkStart w:id="154" w:name="_Toc32709"/>
      <w:r>
        <w:rPr>
          <w:rFonts w:hint="default" w:ascii="Times New Roman" w:hAnsi="Times New Roman" w:cs="Times New Roman"/>
          <w:color w:val="auto"/>
          <w:highlight w:val="none"/>
          <w:lang w:val="en-US" w:eastAsia="zh-CN"/>
        </w:rPr>
        <w:t xml:space="preserve">4.4 </w:t>
      </w:r>
      <w:r>
        <w:rPr>
          <w:rFonts w:hint="default" w:ascii="Times New Roman" w:hAnsi="Times New Roman" w:cs="Times New Roman"/>
          <w:color w:val="auto"/>
          <w:highlight w:val="none"/>
        </w:rPr>
        <w:t>承包商现场环境行为规范</w:t>
      </w:r>
      <w:bookmarkEnd w:id="151"/>
      <w:bookmarkEnd w:id="152"/>
      <w:bookmarkEnd w:id="153"/>
      <w:bookmarkEnd w:id="154"/>
    </w:p>
    <w:p w14:paraId="27CCDAE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在本次HCFC-141b生产线拆除项目实施开始前，承包商应针对其工作计划书面提交</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一份项目施工方案供评审确定，后续根据评审意见修改完善。</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委托的承保商应持有《环境管理计划》复件，并纳入生产线拆除合同文件之中。</w:t>
      </w:r>
    </w:p>
    <w:p w14:paraId="495C7CB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施工方案应接受本环境管理计划中的环境影响缓解措施、环境风险规避措施等。在项目实施期间，承包商应落实现场的环境管理行为，主要包括：</w:t>
      </w:r>
    </w:p>
    <w:p w14:paraId="1C4DA4AB">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现场管理；</w:t>
      </w:r>
    </w:p>
    <w:p w14:paraId="044C4E2F">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物料的暂储存与处理；</w:t>
      </w:r>
    </w:p>
    <w:p w14:paraId="04E1354F">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废气</w:t>
      </w:r>
      <w:r>
        <w:rPr>
          <w:rFonts w:hint="default" w:ascii="Times New Roman" w:hAnsi="Times New Roman" w:cs="Times New Roman"/>
          <w:color w:val="auto"/>
          <w:highlight w:val="none"/>
        </w:rPr>
        <w:t>与噪声危害控制；</w:t>
      </w:r>
    </w:p>
    <w:p w14:paraId="4D890DF2">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污水管理；</w:t>
      </w:r>
    </w:p>
    <w:p w14:paraId="62DD0286">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废弃物管理。</w:t>
      </w:r>
    </w:p>
    <w:p w14:paraId="2CE559F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除上述内容，还应包括与特定项目活动有关的环境问题（环境应急、后续场地治理等）详见第6章节。在项目业主与承包商合同中明确环境管理的职责后，承包商应在现场参照本环境管理管理计划中的相关规范进行环境管理操作，符合本章节下列的内容。</w:t>
      </w:r>
    </w:p>
    <w:p w14:paraId="4F1C7FFF">
      <w:pPr>
        <w:pStyle w:val="4"/>
        <w:bidi w:val="0"/>
        <w:rPr>
          <w:rFonts w:hint="default" w:ascii="Times New Roman" w:hAnsi="Times New Roman" w:cs="Times New Roman"/>
          <w:color w:val="auto"/>
          <w:highlight w:val="none"/>
        </w:rPr>
      </w:pPr>
      <w:bookmarkStart w:id="155" w:name="_Toc406099712"/>
      <w:bookmarkStart w:id="156" w:name="_Toc406099560"/>
      <w:bookmarkStart w:id="157" w:name="_Toc26947"/>
      <w:bookmarkStart w:id="158" w:name="_Toc406099836"/>
      <w:r>
        <w:rPr>
          <w:rFonts w:hint="default" w:ascii="Times New Roman" w:hAnsi="Times New Roman" w:cs="Times New Roman"/>
          <w:color w:val="auto"/>
          <w:highlight w:val="none"/>
          <w:lang w:val="en-US" w:eastAsia="zh-CN"/>
        </w:rPr>
        <w:t xml:space="preserve">4.4.1 </w:t>
      </w:r>
      <w:r>
        <w:rPr>
          <w:rFonts w:hint="default" w:ascii="Times New Roman" w:hAnsi="Times New Roman" w:cs="Times New Roman"/>
          <w:color w:val="auto"/>
          <w:highlight w:val="none"/>
        </w:rPr>
        <w:t>劳动雇工要求</w:t>
      </w:r>
      <w:bookmarkEnd w:id="155"/>
      <w:bookmarkEnd w:id="156"/>
      <w:bookmarkEnd w:id="157"/>
      <w:bookmarkEnd w:id="158"/>
    </w:p>
    <w:p w14:paraId="6F9882E2">
      <w:pPr>
        <w:bidi w:val="0"/>
        <w:rPr>
          <w:rFonts w:hint="default" w:ascii="Times New Roman" w:hAnsi="Times New Roman" w:cs="Times New Roman"/>
          <w:color w:val="auto"/>
          <w:highlight w:val="none"/>
        </w:rPr>
      </w:pPr>
      <w:bookmarkStart w:id="159" w:name="_Toc406099561"/>
      <w:bookmarkStart w:id="160" w:name="_Toc406099713"/>
      <w:bookmarkStart w:id="161" w:name="_Toc406099837"/>
      <w:r>
        <w:rPr>
          <w:rFonts w:hint="default" w:ascii="Times New Roman" w:hAnsi="Times New Roman" w:cs="Times New Roman"/>
          <w:color w:val="auto"/>
          <w:highlight w:val="none"/>
        </w:rPr>
        <w:t xml:space="preserve">承包商应优先雇用当地劳工，并与项目实施及工作人员签订合法的雇用合同。在项目实施之前，承包商应向项目实施工人提供环境保护方面的培训。 </w:t>
      </w:r>
    </w:p>
    <w:p w14:paraId="023B8DDA">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承包商应为工人提供足够的人身安全保护装置（例如：护目镜、防护手套、防护面罩、防尘罩、安全帽、护耳器、钢盔等等），并确保其用于项目实施工地；</w:t>
      </w:r>
    </w:p>
    <w:p w14:paraId="3606DA3D">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所有可能发生环境风险的区域均应警告明示；</w:t>
      </w:r>
    </w:p>
    <w:p w14:paraId="3FD53987">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应根据相关规定确定安全防护距离；</w:t>
      </w:r>
    </w:p>
    <w:p w14:paraId="231267D5">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承包商应与气象部门保持联系，了解不利天气情况，避免异常天气施工；</w:t>
      </w:r>
    </w:p>
    <w:p w14:paraId="7365CA70">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承包商应为项目实施工人提供基本的急救服务和应急措施。</w:t>
      </w:r>
    </w:p>
    <w:bookmarkEnd w:id="159"/>
    <w:bookmarkEnd w:id="160"/>
    <w:bookmarkEnd w:id="161"/>
    <w:p w14:paraId="4B37A4D3">
      <w:pPr>
        <w:pStyle w:val="4"/>
        <w:bidi w:val="0"/>
        <w:rPr>
          <w:rFonts w:hint="default" w:ascii="Times New Roman" w:hAnsi="Times New Roman" w:cs="Times New Roman"/>
          <w:color w:val="auto"/>
          <w:highlight w:val="none"/>
        </w:rPr>
      </w:pPr>
      <w:bookmarkStart w:id="162" w:name="_Toc406099714"/>
      <w:bookmarkStart w:id="163" w:name="_Toc406099562"/>
      <w:bookmarkStart w:id="164" w:name="_Toc406099838"/>
      <w:bookmarkStart w:id="165" w:name="_Toc30326"/>
      <w:r>
        <w:rPr>
          <w:rFonts w:hint="default" w:ascii="Times New Roman" w:hAnsi="Times New Roman" w:cs="Times New Roman"/>
          <w:color w:val="auto"/>
          <w:highlight w:val="none"/>
          <w:lang w:val="en-US" w:eastAsia="zh-CN"/>
        </w:rPr>
        <w:t xml:space="preserve">4.4.2 </w:t>
      </w:r>
      <w:r>
        <w:rPr>
          <w:rFonts w:hint="default" w:ascii="Times New Roman" w:hAnsi="Times New Roman" w:cs="Times New Roman"/>
          <w:color w:val="auto"/>
          <w:highlight w:val="none"/>
        </w:rPr>
        <w:t>雇工人员消洗</w:t>
      </w:r>
      <w:bookmarkEnd w:id="162"/>
      <w:bookmarkEnd w:id="163"/>
      <w:bookmarkEnd w:id="164"/>
      <w:bookmarkEnd w:id="165"/>
    </w:p>
    <w:p w14:paraId="6D1BEEA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在项目施工现场，清洗程序保证工人在隔离区内接触的材料不会造成个体暴露及污染物扩散到场地清洁区域。详细的人员消息步骤应依据场地条件、任务要求及防护等级等决定，可参考下述两级清洗程序：</w:t>
      </w:r>
    </w:p>
    <w:p w14:paraId="32E4CF46">
      <w:pPr>
        <w:ind w:firstLineChars="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I级别清洗程序</w:t>
      </w:r>
    </w:p>
    <w:p w14:paraId="2F2FF6C7">
      <w:pPr>
        <w:keepNext w:val="0"/>
        <w:keepLines w:val="0"/>
        <w:pageBreakBefore w:val="0"/>
        <w:widowControl w:val="0"/>
        <w:numPr>
          <w:ilvl w:val="0"/>
          <w:numId w:val="2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走到隔离区出口；</w:t>
      </w:r>
    </w:p>
    <w:p w14:paraId="6126487F">
      <w:pPr>
        <w:keepNext w:val="0"/>
        <w:keepLines w:val="0"/>
        <w:pageBreakBefore w:val="0"/>
        <w:widowControl w:val="0"/>
        <w:numPr>
          <w:ilvl w:val="0"/>
          <w:numId w:val="2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脱下并丢弃乳胶制靴；</w:t>
      </w:r>
    </w:p>
    <w:p w14:paraId="15EFBAC3">
      <w:pPr>
        <w:keepNext w:val="0"/>
        <w:keepLines w:val="0"/>
        <w:pageBreakBefore w:val="0"/>
        <w:widowControl w:val="0"/>
        <w:numPr>
          <w:ilvl w:val="0"/>
          <w:numId w:val="2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脱下并丢弃外手套；</w:t>
      </w:r>
    </w:p>
    <w:p w14:paraId="13CC0FEE">
      <w:pPr>
        <w:keepNext w:val="0"/>
        <w:keepLines w:val="0"/>
        <w:pageBreakBefore w:val="0"/>
        <w:widowControl w:val="0"/>
        <w:numPr>
          <w:ilvl w:val="0"/>
          <w:numId w:val="2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进入污染清除区（污浊呼吸器清洗区）；</w:t>
      </w:r>
    </w:p>
    <w:p w14:paraId="0A683F0A">
      <w:pPr>
        <w:keepNext w:val="0"/>
        <w:keepLines w:val="0"/>
        <w:pageBreakBefore w:val="0"/>
        <w:widowControl w:val="0"/>
        <w:numPr>
          <w:ilvl w:val="0"/>
          <w:numId w:val="2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卸下防护服装（特卫强高密度聚乙烯制服装/正常工作服）；</w:t>
      </w:r>
    </w:p>
    <w:p w14:paraId="69E5AEEB">
      <w:pPr>
        <w:keepNext w:val="0"/>
        <w:keepLines w:val="0"/>
        <w:pageBreakBefore w:val="0"/>
        <w:widowControl w:val="0"/>
        <w:numPr>
          <w:ilvl w:val="0"/>
          <w:numId w:val="2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脱下并丢弃内手套；</w:t>
      </w:r>
    </w:p>
    <w:p w14:paraId="58FEC26C">
      <w:pPr>
        <w:keepNext w:val="0"/>
        <w:keepLines w:val="0"/>
        <w:pageBreakBefore w:val="0"/>
        <w:widowControl w:val="0"/>
        <w:numPr>
          <w:ilvl w:val="0"/>
          <w:numId w:val="2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清洗脸部及双手。</w:t>
      </w:r>
    </w:p>
    <w:p w14:paraId="4C19C840">
      <w:pPr>
        <w:ind w:left="480" w:firstLine="0" w:firstLineChars="0"/>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rPr>
        <w:t>II级别消洗程序</w:t>
      </w:r>
    </w:p>
    <w:p w14:paraId="0B427DB8">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走到隔离区出口；</w:t>
      </w:r>
    </w:p>
    <w:p w14:paraId="7A48AA9A">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清洗安全靴：脱去外靴并晾干或者脱下并丢弃乳胶制靴；</w:t>
      </w:r>
    </w:p>
    <w:p w14:paraId="4C51B94B">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脱下并丢弃外手套；</w:t>
      </w:r>
    </w:p>
    <w:p w14:paraId="76623628">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脱下外工作服（特立强高密度聚乙烯制服装）；</w:t>
      </w:r>
    </w:p>
    <w:p w14:paraId="2D062370">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脱下并丢弃外手套；</w:t>
      </w:r>
    </w:p>
    <w:p w14:paraId="4CE0EB2A">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进入污染清洗区（污浊呼吸器清洗区）；</w:t>
      </w:r>
    </w:p>
    <w:p w14:paraId="1EB15F04">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脱下并清洗呼吸器：a肥皂及水洗b一次漂洗c呼吸器消毒d二次漂洗；</w:t>
      </w:r>
    </w:p>
    <w:p w14:paraId="2639D7A0">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晾干呼吸器；</w:t>
      </w:r>
    </w:p>
    <w:p w14:paraId="7F1AB326">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脱下并丢弃内手套；</w:t>
      </w:r>
    </w:p>
    <w:p w14:paraId="17E83E9F">
      <w:pPr>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清洗脸部及双手。</w:t>
      </w:r>
    </w:p>
    <w:p w14:paraId="34B66329">
      <w:p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如果场地空间有限，不能支持建立满足如下步骤要求的清洗站，则可以使用干洗设备。人员在淋浴室清洗干净换上干净衣物后，离开工作区域。</w:t>
      </w:r>
    </w:p>
    <w:p w14:paraId="15C00B6B">
      <w:pPr>
        <w:pStyle w:val="4"/>
        <w:bidi w:val="0"/>
        <w:rPr>
          <w:rFonts w:hint="default" w:ascii="Times New Roman" w:hAnsi="Times New Roman" w:cs="Times New Roman"/>
          <w:color w:val="auto"/>
          <w:highlight w:val="none"/>
        </w:rPr>
      </w:pPr>
      <w:bookmarkStart w:id="166" w:name="_Toc406099565"/>
      <w:bookmarkStart w:id="167" w:name="_Toc406099717"/>
      <w:bookmarkStart w:id="168" w:name="_Toc406099841"/>
      <w:bookmarkStart w:id="169" w:name="_Toc26700"/>
      <w:r>
        <w:rPr>
          <w:rFonts w:hint="default" w:ascii="Times New Roman" w:hAnsi="Times New Roman" w:cs="Times New Roman"/>
          <w:color w:val="auto"/>
          <w:highlight w:val="none"/>
          <w:lang w:val="en-US" w:eastAsia="zh-CN"/>
        </w:rPr>
        <w:t xml:space="preserve">4.4.3 </w:t>
      </w:r>
      <w:r>
        <w:rPr>
          <w:rFonts w:hint="default" w:ascii="Times New Roman" w:hAnsi="Times New Roman" w:cs="Times New Roman"/>
          <w:color w:val="auto"/>
          <w:highlight w:val="none"/>
        </w:rPr>
        <w:t>固体废弃物管理</w:t>
      </w:r>
      <w:bookmarkEnd w:id="166"/>
      <w:bookmarkEnd w:id="167"/>
      <w:bookmarkEnd w:id="168"/>
      <w:bookmarkEnd w:id="169"/>
    </w:p>
    <w:p w14:paraId="7DB90DA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期间，承包商须采用恰当的方式将工地的废弃物随时清除至经许可的废弃物储存设备及区域，应尽可能减少项目实施废料堆积的情况。一般工业固体废物处置途径应严格遵守本环境管理计划的相关内容，具体的要求如下：</w:t>
      </w:r>
    </w:p>
    <w:p w14:paraId="0F7F0CA0">
      <w:pPr>
        <w:keepNext w:val="0"/>
        <w:keepLines w:val="0"/>
        <w:pageBreakBefore w:val="0"/>
        <w:widowControl w:val="0"/>
        <w:numPr>
          <w:ilvl w:val="0"/>
          <w:numId w:val="2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工作区域不得乱扔垃圾；</w:t>
      </w:r>
    </w:p>
    <w:p w14:paraId="26AF7389">
      <w:pPr>
        <w:keepNext w:val="0"/>
        <w:keepLines w:val="0"/>
        <w:pageBreakBefore w:val="0"/>
        <w:widowControl w:val="0"/>
        <w:numPr>
          <w:ilvl w:val="0"/>
          <w:numId w:val="2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项目拆除过程中产生的一般施工废弃物应存放于</w:t>
      </w:r>
      <w:r>
        <w:rPr>
          <w:rFonts w:hint="default" w:ascii="Times New Roman" w:hAnsi="Times New Roman" w:cs="Times New Roman"/>
          <w:color w:val="auto"/>
          <w:highlight w:val="none"/>
          <w:lang w:val="en-US" w:eastAsia="zh-CN"/>
        </w:rPr>
        <w:t>临时贮存区</w:t>
      </w:r>
      <w:r>
        <w:rPr>
          <w:rFonts w:hint="default" w:ascii="Times New Roman" w:hAnsi="Times New Roman" w:cs="Times New Roman"/>
          <w:color w:val="auto"/>
          <w:highlight w:val="none"/>
        </w:rPr>
        <w:t>，由承包商负责处理，受污染的废弃物必须交付项目业主单独处理；</w:t>
      </w:r>
    </w:p>
    <w:p w14:paraId="04AE42BF">
      <w:pPr>
        <w:keepNext w:val="0"/>
        <w:keepLines w:val="0"/>
        <w:pageBreakBefore w:val="0"/>
        <w:widowControl w:val="0"/>
        <w:numPr>
          <w:ilvl w:val="0"/>
          <w:numId w:val="2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一般工业固体废弃物均应协助项目业主移交给有资质的单位处理，并且将现场堆放情况交于业主监督检查；</w:t>
      </w:r>
    </w:p>
    <w:p w14:paraId="3B32C1DF">
      <w:pPr>
        <w:keepNext w:val="0"/>
        <w:keepLines w:val="0"/>
        <w:pageBreakBefore w:val="0"/>
        <w:widowControl w:val="0"/>
        <w:numPr>
          <w:ilvl w:val="0"/>
          <w:numId w:val="2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项目实施现场禁止焚烧垃圾。</w:t>
      </w:r>
    </w:p>
    <w:p w14:paraId="25538C0A">
      <w:pPr>
        <w:pStyle w:val="4"/>
        <w:bidi w:val="0"/>
        <w:rPr>
          <w:rFonts w:hint="default" w:ascii="Times New Roman" w:hAnsi="Times New Roman" w:cs="Times New Roman"/>
          <w:color w:val="auto"/>
          <w:highlight w:val="none"/>
        </w:rPr>
      </w:pPr>
      <w:bookmarkStart w:id="170" w:name="_Toc406099718"/>
      <w:bookmarkStart w:id="171" w:name="_Toc9002"/>
      <w:bookmarkStart w:id="172" w:name="_Toc406099842"/>
      <w:bookmarkStart w:id="173" w:name="_Toc406099566"/>
      <w:r>
        <w:rPr>
          <w:rFonts w:hint="default" w:ascii="Times New Roman" w:hAnsi="Times New Roman" w:cs="Times New Roman"/>
          <w:color w:val="auto"/>
          <w:highlight w:val="none"/>
          <w:lang w:val="en-US" w:eastAsia="zh-CN"/>
        </w:rPr>
        <w:t xml:space="preserve">4.4.4 </w:t>
      </w:r>
      <w:r>
        <w:rPr>
          <w:rFonts w:hint="default" w:ascii="Times New Roman" w:hAnsi="Times New Roman" w:cs="Times New Roman"/>
          <w:color w:val="auto"/>
          <w:highlight w:val="none"/>
        </w:rPr>
        <w:t>设备清洗</w:t>
      </w:r>
      <w:bookmarkEnd w:id="170"/>
      <w:bookmarkEnd w:id="171"/>
      <w:bookmarkEnd w:id="172"/>
      <w:bookmarkEnd w:id="173"/>
    </w:p>
    <w:p w14:paraId="2E0887C7">
      <w:pPr>
        <w:keepNext w:val="0"/>
        <w:keepLines w:val="0"/>
        <w:pageBreakBefore w:val="0"/>
        <w:widowControl w:val="0"/>
        <w:numPr>
          <w:ilvl w:val="0"/>
          <w:numId w:val="2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隔离区内的重型设备及其他仪器在离开工作区前必须经过清洗净化；</w:t>
      </w:r>
    </w:p>
    <w:p w14:paraId="681AB3AA">
      <w:pPr>
        <w:keepNext w:val="0"/>
        <w:keepLines w:val="0"/>
        <w:pageBreakBefore w:val="0"/>
        <w:widowControl w:val="0"/>
        <w:numPr>
          <w:ilvl w:val="0"/>
          <w:numId w:val="2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操作设备或仪器的工作人员应将设备移动到靠近隔离区出口的位置进行清洗工作；</w:t>
      </w:r>
    </w:p>
    <w:p w14:paraId="6F2D9083">
      <w:pPr>
        <w:keepNext w:val="0"/>
        <w:keepLines w:val="0"/>
        <w:pageBreakBefore w:val="0"/>
        <w:widowControl w:val="0"/>
        <w:numPr>
          <w:ilvl w:val="0"/>
          <w:numId w:val="2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经过初次清洗净化后的设备或仪器将被移动到现场设置的清洗衬垫上并在衬垫上进行清洗程序直到清洗干净；</w:t>
      </w:r>
    </w:p>
    <w:p w14:paraId="7988D47D">
      <w:pPr>
        <w:keepNext w:val="0"/>
        <w:keepLines w:val="0"/>
        <w:pageBreakBefore w:val="0"/>
        <w:widowControl w:val="0"/>
        <w:numPr>
          <w:ilvl w:val="0"/>
          <w:numId w:val="2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设备或仪器清洗干净后，项目业主或承包商的环境管理人员将在设备或仪器离开工作区前进行检查，如查出设备或仪器仍有污染迹象，工作人员需要将它重新搬运至工作区。</w:t>
      </w:r>
    </w:p>
    <w:p w14:paraId="1F347181">
      <w:pPr>
        <w:pStyle w:val="4"/>
        <w:bidi w:val="0"/>
        <w:rPr>
          <w:rFonts w:hint="default" w:ascii="Times New Roman" w:hAnsi="Times New Roman" w:cs="Times New Roman"/>
          <w:color w:val="auto"/>
          <w:highlight w:val="none"/>
        </w:rPr>
      </w:pPr>
      <w:bookmarkStart w:id="174" w:name="_Toc406099843"/>
      <w:bookmarkStart w:id="175" w:name="_Toc406099719"/>
      <w:bookmarkStart w:id="176" w:name="_Toc406099567"/>
      <w:bookmarkStart w:id="177" w:name="_Toc27485"/>
      <w:r>
        <w:rPr>
          <w:rFonts w:hint="default" w:ascii="Times New Roman" w:hAnsi="Times New Roman" w:cs="Times New Roman"/>
          <w:color w:val="auto"/>
          <w:highlight w:val="none"/>
          <w:lang w:val="en-US" w:eastAsia="zh-CN"/>
        </w:rPr>
        <w:t xml:space="preserve">4.4.5 </w:t>
      </w:r>
      <w:r>
        <w:rPr>
          <w:rFonts w:hint="default" w:ascii="Times New Roman" w:hAnsi="Times New Roman" w:cs="Times New Roman"/>
          <w:color w:val="auto"/>
          <w:highlight w:val="none"/>
        </w:rPr>
        <w:t>废水与暴雨水管理</w:t>
      </w:r>
      <w:bookmarkEnd w:id="174"/>
      <w:bookmarkEnd w:id="175"/>
      <w:bookmarkEnd w:id="176"/>
      <w:bookmarkEnd w:id="177"/>
    </w:p>
    <w:p w14:paraId="4B0B7EC0">
      <w:pPr>
        <w:keepNext w:val="0"/>
        <w:keepLines w:val="0"/>
        <w:pageBreakBefore w:val="0"/>
        <w:widowControl w:val="0"/>
        <w:numPr>
          <w:ilvl w:val="0"/>
          <w:numId w:val="2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项目实施工地废水不得直接排入附近河道；</w:t>
      </w:r>
    </w:p>
    <w:p w14:paraId="341C8822">
      <w:pPr>
        <w:keepNext w:val="0"/>
        <w:keepLines w:val="0"/>
        <w:pageBreakBefore w:val="0"/>
        <w:widowControl w:val="0"/>
        <w:numPr>
          <w:ilvl w:val="0"/>
          <w:numId w:val="2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项目实施工地废水不得</w:t>
      </w:r>
      <w:r>
        <w:rPr>
          <w:rFonts w:hint="default" w:ascii="Times New Roman" w:hAnsi="Times New Roman" w:cs="Times New Roman"/>
          <w:color w:val="auto"/>
          <w:highlight w:val="none"/>
          <w:lang w:val="en-US" w:eastAsia="zh-CN"/>
        </w:rPr>
        <w:t>直接排放在现场（土壤和地下水），需通过设施或管道进行收集；</w:t>
      </w:r>
    </w:p>
    <w:p w14:paraId="350D3698">
      <w:pPr>
        <w:keepNext w:val="0"/>
        <w:keepLines w:val="0"/>
        <w:pageBreakBefore w:val="0"/>
        <w:widowControl w:val="0"/>
        <w:numPr>
          <w:ilvl w:val="0"/>
          <w:numId w:val="2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物料运移、设备拆除阶段产生的生产废水经处理后达标排放；</w:t>
      </w:r>
    </w:p>
    <w:p w14:paraId="6D92DA41">
      <w:pPr>
        <w:keepNext w:val="0"/>
        <w:keepLines w:val="0"/>
        <w:pageBreakBefore w:val="0"/>
        <w:widowControl w:val="0"/>
        <w:numPr>
          <w:ilvl w:val="0"/>
          <w:numId w:val="2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暴雨水等自然灾害参照本环境管理计划6.4章节。</w:t>
      </w:r>
    </w:p>
    <w:p w14:paraId="3FFF51ED">
      <w:pPr>
        <w:pStyle w:val="4"/>
        <w:bidi w:val="0"/>
        <w:rPr>
          <w:rFonts w:hint="default" w:ascii="Times New Roman" w:hAnsi="Times New Roman" w:cs="Times New Roman"/>
          <w:color w:val="auto"/>
          <w:highlight w:val="none"/>
        </w:rPr>
      </w:pPr>
      <w:bookmarkStart w:id="178" w:name="_Toc406099568"/>
      <w:bookmarkStart w:id="179" w:name="_Toc406099844"/>
      <w:bookmarkStart w:id="180" w:name="_Toc406099720"/>
      <w:bookmarkStart w:id="181" w:name="_Toc27283"/>
      <w:r>
        <w:rPr>
          <w:rFonts w:hint="default" w:ascii="Times New Roman" w:hAnsi="Times New Roman" w:cs="Times New Roman"/>
          <w:color w:val="auto"/>
          <w:highlight w:val="none"/>
          <w:lang w:val="en-US" w:eastAsia="zh-CN"/>
        </w:rPr>
        <w:t xml:space="preserve">4.4.6 </w:t>
      </w:r>
      <w:r>
        <w:rPr>
          <w:rFonts w:hint="default" w:ascii="Times New Roman" w:hAnsi="Times New Roman" w:cs="Times New Roman"/>
          <w:color w:val="auto"/>
          <w:highlight w:val="none"/>
        </w:rPr>
        <w:t>噪声控制</w:t>
      </w:r>
      <w:bookmarkEnd w:id="178"/>
      <w:bookmarkEnd w:id="179"/>
      <w:bookmarkEnd w:id="180"/>
      <w:bookmarkEnd w:id="181"/>
    </w:p>
    <w:p w14:paraId="2142DED0">
      <w:pPr>
        <w:keepNext w:val="0"/>
        <w:keepLines w:val="0"/>
        <w:pageBreakBefore w:val="0"/>
        <w:widowControl w:val="0"/>
        <w:numPr>
          <w:ilvl w:val="0"/>
          <w:numId w:val="2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禁止在夜间施工；</w:t>
      </w:r>
    </w:p>
    <w:p w14:paraId="302F73B6">
      <w:pPr>
        <w:keepNext w:val="0"/>
        <w:keepLines w:val="0"/>
        <w:pageBreakBefore w:val="0"/>
        <w:widowControl w:val="0"/>
        <w:numPr>
          <w:ilvl w:val="0"/>
          <w:numId w:val="2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承包商必须遵守所有适用的职业健康与安全要求；</w:t>
      </w:r>
    </w:p>
    <w:p w14:paraId="0A65414F">
      <w:pPr>
        <w:keepNext w:val="0"/>
        <w:keepLines w:val="0"/>
        <w:pageBreakBefore w:val="0"/>
        <w:widowControl w:val="0"/>
        <w:numPr>
          <w:ilvl w:val="0"/>
          <w:numId w:val="2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工地工作人员、来访人员及项目实施工人必须配备适当的听力保护措施，以免噪声影响对听力产生伤害；</w:t>
      </w:r>
    </w:p>
    <w:p w14:paraId="7946003B">
      <w:pPr>
        <w:keepNext w:val="0"/>
        <w:keepLines w:val="0"/>
        <w:pageBreakBefore w:val="0"/>
        <w:widowControl w:val="0"/>
        <w:numPr>
          <w:ilvl w:val="0"/>
          <w:numId w:val="2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sectPr>
          <w:pgSz w:w="11906" w:h="16838"/>
          <w:pgMar w:top="1440" w:right="1800" w:bottom="1440" w:left="1800" w:header="794" w:footer="992" w:gutter="0"/>
          <w:pgNumType w:fmt="decimal"/>
          <w:cols w:space="425" w:num="1"/>
          <w:docGrid w:type="lines" w:linePitch="312" w:charSpace="0"/>
        </w:sectPr>
      </w:pPr>
      <w:r>
        <w:rPr>
          <w:rFonts w:hint="default" w:ascii="Times New Roman" w:hAnsi="Times New Roman" w:cs="Times New Roman"/>
          <w:color w:val="auto"/>
          <w:highlight w:val="none"/>
        </w:rPr>
        <w:t>项目业主应对工地施工噪声进行定期检查。</w:t>
      </w:r>
    </w:p>
    <w:p w14:paraId="7DF8BE5C">
      <w:pPr>
        <w:pStyle w:val="2"/>
        <w:bidi w:val="0"/>
        <w:rPr>
          <w:rFonts w:hint="default" w:ascii="Times New Roman" w:hAnsi="Times New Roman" w:cs="Times New Roman"/>
          <w:color w:val="auto"/>
          <w:highlight w:val="none"/>
        </w:rPr>
      </w:pPr>
      <w:bookmarkStart w:id="182" w:name="_Toc24305"/>
      <w:bookmarkStart w:id="183" w:name="_Toc406099569"/>
      <w:bookmarkStart w:id="184" w:name="_Toc406099721"/>
      <w:bookmarkStart w:id="185" w:name="_Toc406099845"/>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环境监测计划</w:t>
      </w:r>
      <w:bookmarkEnd w:id="182"/>
      <w:bookmarkEnd w:id="183"/>
      <w:bookmarkEnd w:id="184"/>
      <w:bookmarkEnd w:id="185"/>
    </w:p>
    <w:p w14:paraId="431397DB">
      <w:pPr>
        <w:pStyle w:val="3"/>
        <w:bidi w:val="0"/>
        <w:rPr>
          <w:rFonts w:hint="default" w:ascii="Times New Roman" w:hAnsi="Times New Roman" w:cs="Times New Roman"/>
          <w:color w:val="auto"/>
          <w:highlight w:val="none"/>
        </w:rPr>
      </w:pPr>
      <w:bookmarkStart w:id="186" w:name="_Toc406099570"/>
      <w:bookmarkStart w:id="187" w:name="_Toc406099722"/>
      <w:bookmarkStart w:id="188" w:name="_Toc406099846"/>
      <w:bookmarkStart w:id="189" w:name="_Toc32643"/>
      <w:r>
        <w:rPr>
          <w:rFonts w:hint="default" w:ascii="Times New Roman" w:hAnsi="Times New Roman" w:cs="Times New Roman"/>
          <w:color w:val="auto"/>
          <w:highlight w:val="none"/>
          <w:lang w:val="en-US" w:eastAsia="zh-CN"/>
        </w:rPr>
        <w:t xml:space="preserve">5.1 </w:t>
      </w:r>
      <w:r>
        <w:rPr>
          <w:rFonts w:hint="default" w:ascii="Times New Roman" w:hAnsi="Times New Roman" w:cs="Times New Roman"/>
          <w:color w:val="auto"/>
          <w:highlight w:val="none"/>
        </w:rPr>
        <w:t>监测机构</w:t>
      </w:r>
      <w:bookmarkEnd w:id="186"/>
      <w:bookmarkEnd w:id="187"/>
      <w:bookmarkEnd w:id="188"/>
      <w:bookmarkEnd w:id="189"/>
    </w:p>
    <w:p w14:paraId="2BB54B3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HCFC-141b生产线拆除项目在实施过程中，业主需委托具备环境监测能力的机构作为本项目的环境监测顾问，监督或开展环境监测，目的是掌握物料转移及设备拆除过程中，各种污染物的排放情况，监测拆除区域及周边的环境影响，为控制污染和保护环境提供科学依据。</w:t>
      </w:r>
    </w:p>
    <w:p w14:paraId="4379BBD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独立环境监测顾问机构的相关人员应由具有环保、分析化学等专业的技术人员担任。具体的环境监测内容及方法应按本环境管理计划中所提供的相关缓解措施和监测方案充分执行。</w:t>
      </w:r>
    </w:p>
    <w:p w14:paraId="68EEAE99">
      <w:pPr>
        <w:pStyle w:val="3"/>
        <w:bidi w:val="0"/>
        <w:rPr>
          <w:rFonts w:hint="default" w:ascii="Times New Roman" w:hAnsi="Times New Roman" w:cs="Times New Roman"/>
          <w:color w:val="auto"/>
          <w:highlight w:val="none"/>
        </w:rPr>
      </w:pPr>
      <w:bookmarkStart w:id="190" w:name="_Toc406099571"/>
      <w:bookmarkStart w:id="191" w:name="_Toc406099847"/>
      <w:bookmarkStart w:id="192" w:name="_Toc27064"/>
      <w:bookmarkStart w:id="193" w:name="_Toc406099723"/>
      <w:r>
        <w:rPr>
          <w:rFonts w:hint="default" w:ascii="Times New Roman" w:hAnsi="Times New Roman" w:cs="Times New Roman"/>
          <w:color w:val="auto"/>
          <w:highlight w:val="none"/>
          <w:lang w:val="en-US" w:eastAsia="zh-CN"/>
        </w:rPr>
        <w:t xml:space="preserve">5.2 </w:t>
      </w:r>
      <w:r>
        <w:rPr>
          <w:rFonts w:hint="default" w:ascii="Times New Roman" w:hAnsi="Times New Roman" w:cs="Times New Roman"/>
          <w:color w:val="auto"/>
          <w:highlight w:val="none"/>
        </w:rPr>
        <w:t>监测内容</w:t>
      </w:r>
      <w:bookmarkEnd w:id="190"/>
      <w:bookmarkEnd w:id="191"/>
      <w:bookmarkEnd w:id="192"/>
      <w:bookmarkEnd w:id="193"/>
    </w:p>
    <w:p w14:paraId="5F6C837E">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监测计划针对HCFC-141b生产线设备拆解区、清洗区和临时储存区内的废气排放、废水排放、声环境等，以及设备拆除阶段的设备冲洗废水等，此外在拆除项目完成前和完成后，分两次对土壤和地下水进行调查和监测</w:t>
      </w:r>
      <w:r>
        <w:rPr>
          <w:rFonts w:hint="default" w:ascii="Times New Roman" w:hAnsi="Times New Roman" w:cs="Times New Roman"/>
          <w:color w:val="auto"/>
          <w:highlight w:val="none"/>
          <w:lang w:eastAsia="zh-CN"/>
        </w:rPr>
        <w:t>。</w:t>
      </w:r>
    </w:p>
    <w:p w14:paraId="4839E1C3">
      <w:pPr>
        <w:pStyle w:val="4"/>
        <w:bidi w:val="0"/>
        <w:rPr>
          <w:rFonts w:hint="default" w:ascii="Times New Roman" w:hAnsi="Times New Roman" w:cs="Times New Roman"/>
          <w:color w:val="auto"/>
          <w:highlight w:val="none"/>
        </w:rPr>
      </w:pPr>
      <w:bookmarkStart w:id="194" w:name="_Toc406099724"/>
      <w:bookmarkStart w:id="195" w:name="_Toc14475"/>
      <w:bookmarkStart w:id="196" w:name="_Toc406099848"/>
      <w:bookmarkStart w:id="197" w:name="_Toc406099572"/>
      <w:r>
        <w:rPr>
          <w:rFonts w:hint="default" w:ascii="Times New Roman" w:hAnsi="Times New Roman" w:cs="Times New Roman"/>
          <w:color w:val="auto"/>
          <w:highlight w:val="none"/>
          <w:lang w:val="en-US" w:eastAsia="zh-CN"/>
        </w:rPr>
        <w:t xml:space="preserve">5.2.1 </w:t>
      </w:r>
      <w:r>
        <w:rPr>
          <w:rFonts w:hint="default" w:ascii="Times New Roman" w:hAnsi="Times New Roman" w:cs="Times New Roman"/>
          <w:color w:val="auto"/>
          <w:highlight w:val="none"/>
        </w:rPr>
        <w:t>大气环境监测</w:t>
      </w:r>
      <w:bookmarkEnd w:id="194"/>
      <w:bookmarkEnd w:id="195"/>
      <w:bookmarkEnd w:id="196"/>
      <w:bookmarkEnd w:id="197"/>
    </w:p>
    <w:p w14:paraId="199D27E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项目拆除过程中的废气排放属于无组织排放，因此大气环境监测点位布设参考《大气污染物综合排放标准》（</w:t>
      </w:r>
      <w:r>
        <w:rPr>
          <w:rFonts w:hint="default" w:ascii="Times New Roman" w:hAnsi="Times New Roman" w:cs="Times New Roman"/>
          <w:color w:val="auto"/>
          <w:highlight w:val="none"/>
        </w:rPr>
        <w:t>GB16297-1996</w:t>
      </w:r>
      <w:r>
        <w:rPr>
          <w:rFonts w:hint="default" w:ascii="Times New Roman" w:hAnsi="Times New Roman" w:cs="Times New Roman"/>
          <w:color w:val="auto"/>
          <w:highlight w:val="none"/>
          <w:lang w:val="en-US" w:eastAsia="zh-CN"/>
        </w:rPr>
        <w:t>）附录C“无组织排放监控点设置方法”中的相关内容。</w:t>
      </w:r>
    </w:p>
    <w:p w14:paraId="2DD109E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本次监测于车间内及上下风向10m处各布设1个监测点位，共计布设监测点位3个，采样时采用连续1小时采样计平均值，监测时段应选择微风时段，避开阳光辐射较强烈的中午时段，监测点位见图5</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-1。监测指标为拆除过程中可能产生的指标，包括氯气、氯化氢、氟化物、颗粒物</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非甲烷总烃</w:t>
      </w:r>
      <w:r>
        <w:rPr>
          <w:rFonts w:hint="eastAsia" w:cs="Times New Roman"/>
          <w:color w:val="auto"/>
          <w:highlight w:val="none"/>
          <w:lang w:val="en-US" w:eastAsia="zh-CN"/>
        </w:rPr>
        <w:t>、</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1-二氯-1-氟乙烷（简称：HCFC-141b）、一氯二氟乙烷（简称：HCFC-142b）、三氯乙烷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偏</w:t>
      </w:r>
      <w:r>
        <w:rPr>
          <w:rFonts w:hint="eastAsia" w:cs="Times New Roman"/>
          <w:color w:val="auto"/>
          <w:sz w:val="24"/>
          <w:highlight w:val="none"/>
          <w:lang w:val="en-US" w:eastAsia="zh-CN"/>
        </w:rPr>
        <w:t>二</w:t>
      </w:r>
      <w:r>
        <w:rPr>
          <w:rFonts w:hint="default" w:ascii="Times New Roman" w:hAnsi="Times New Roman" w:eastAsia="宋体" w:cs="Times New Roman"/>
          <w:color w:val="auto"/>
          <w:sz w:val="24"/>
          <w:highlight w:val="none"/>
          <w:lang w:val="en-US" w:eastAsia="zh-CN"/>
        </w:rPr>
        <w:t>氯乙烯（1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1-二氯乙烯）</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监测方法参照环保部颁发的各监测指标的相关标准监测及分析方法</w:t>
      </w:r>
      <w:r>
        <w:rPr>
          <w:rFonts w:hint="default" w:ascii="Times New Roman" w:hAnsi="Times New Roman" w:cs="Times New Roman"/>
          <w:color w:val="auto"/>
          <w:highlight w:val="none"/>
          <w:lang w:val="en-US" w:eastAsia="zh-CN"/>
        </w:rPr>
        <w:t>。在拆除前以及拆除期间监测，共监测2次。</w:t>
      </w:r>
      <w:r>
        <w:rPr>
          <w:rFonts w:hint="default" w:ascii="Times New Roman" w:hAnsi="Times New Roman" w:cs="Times New Roman"/>
          <w:color w:val="auto"/>
          <w:highlight w:val="none"/>
        </w:rPr>
        <w:t>大气监测计划</w:t>
      </w:r>
      <w:r>
        <w:rPr>
          <w:rFonts w:hint="default" w:ascii="Times New Roman" w:hAnsi="Times New Roman" w:cs="Times New Roman"/>
          <w:color w:val="auto"/>
          <w:highlight w:val="none"/>
          <w:lang w:val="en-US" w:eastAsia="zh-CN"/>
        </w:rPr>
        <w:t>内容总览</w:t>
      </w:r>
      <w:r>
        <w:rPr>
          <w:rFonts w:hint="default" w:ascii="Times New Roman" w:hAnsi="Times New Roman" w:cs="Times New Roman"/>
          <w:color w:val="auto"/>
          <w:highlight w:val="none"/>
        </w:rPr>
        <w:t>见表5</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p>
    <w:p w14:paraId="2A8C79E7">
      <w:pPr>
        <w:pStyle w:val="26"/>
        <w:keepNext w:val="0"/>
        <w:keepLines w:val="0"/>
        <w:pageBreakBefore w:val="0"/>
        <w:widowControl w:val="0"/>
        <w:kinsoku/>
        <w:wordWrap/>
        <w:overflowPunct/>
        <w:topLinePunct w:val="0"/>
        <w:autoSpaceDE/>
        <w:autoSpaceDN/>
        <w:bidi w:val="0"/>
        <w:adjustRightInd/>
        <w:snapToGrid/>
        <w:spacing w:before="0" w:after="0" w:line="0" w:lineRule="atLeast"/>
        <w:ind w:left="0" w:leftChars="0" w:firstLine="0" w:firstLineChars="0"/>
        <w:jc w:val="center"/>
        <w:textAlignment w:val="auto"/>
        <w:outlineLvl w:val="9"/>
        <w:rPr>
          <w:rFonts w:hint="default" w:ascii="Times New Roman" w:hAnsi="Times New Roman" w:cs="Times New Roman"/>
          <w:color w:val="auto"/>
          <w:highlight w:val="none"/>
          <w:lang w:val="en-US" w:eastAsia="zh-CN"/>
        </w:rPr>
      </w:pPr>
      <w:bookmarkStart w:id="198" w:name="_Toc406099725"/>
      <w:bookmarkStart w:id="199" w:name="_Toc406099849"/>
      <w:bookmarkStart w:id="200" w:name="_Toc406099573"/>
      <w:r>
        <w:rPr>
          <w:rFonts w:hint="default" w:ascii="Times New Roman" w:hAnsi="Times New Roman" w:cs="Times New Roman"/>
          <w:color w:val="auto"/>
          <w:highlight w:val="none"/>
          <w:lang w:val="en-US" w:eastAsia="zh-CN"/>
        </w:rPr>
        <w:drawing>
          <wp:inline distT="0" distB="0" distL="114300" distR="114300">
            <wp:extent cx="5267325" cy="4796790"/>
            <wp:effectExtent l="9525" t="9525" r="19050" b="13335"/>
            <wp:docPr id="13" name="图片 13" descr="c8f5b6fb22e039fdd6db5a884533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8f5b6fb22e039fdd6db5a8845332ef"/>
                    <pic:cNvPicPr>
                      <a:picLocks noChangeAspect="1"/>
                    </pic:cNvPicPr>
                  </pic:nvPicPr>
                  <pic:blipFill>
                    <a:blip r:embed="rId57"/>
                    <a:stretch>
                      <a:fillRect/>
                    </a:stretch>
                  </pic:blipFill>
                  <pic:spPr>
                    <a:xfrm>
                      <a:off x="0" y="0"/>
                      <a:ext cx="5267325" cy="4796790"/>
                    </a:xfrm>
                    <a:prstGeom prst="rect">
                      <a:avLst/>
                    </a:prstGeom>
                    <a:ln>
                      <a:solidFill>
                        <a:schemeClr val="tx1"/>
                      </a:solidFill>
                    </a:ln>
                  </pic:spPr>
                </pic:pic>
              </a:graphicData>
            </a:graphic>
          </wp:inline>
        </w:drawing>
      </w:r>
    </w:p>
    <w:p w14:paraId="7848B116">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图 5.2-1 大气监测点位布设图</w:t>
      </w:r>
    </w:p>
    <w:p w14:paraId="49BAF381">
      <w:pPr>
        <w:pStyle w:val="46"/>
        <w:bidi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大气环境监测计划</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08"/>
        <w:gridCol w:w="526"/>
        <w:gridCol w:w="1318"/>
        <w:gridCol w:w="2091"/>
        <w:gridCol w:w="1842"/>
        <w:gridCol w:w="1234"/>
      </w:tblGrid>
      <w:tr w14:paraId="77F1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23" w:type="pct"/>
            <w:shd w:val="clear" w:color="auto" w:fill="auto"/>
            <w:vAlign w:val="center"/>
          </w:tcPr>
          <w:p w14:paraId="48487B03">
            <w:pPr>
              <w:pStyle w:val="45"/>
              <w:bidi w:val="0"/>
              <w:rPr>
                <w:rFonts w:hint="default"/>
                <w:highlight w:val="none"/>
              </w:rPr>
            </w:pPr>
            <w:r>
              <w:rPr>
                <w:rFonts w:hint="default"/>
                <w:highlight w:val="none"/>
              </w:rPr>
              <w:t>监测</w:t>
            </w:r>
          </w:p>
          <w:p w14:paraId="5FCE5CE1">
            <w:pPr>
              <w:pStyle w:val="45"/>
              <w:bidi w:val="0"/>
              <w:rPr>
                <w:rFonts w:hint="default"/>
                <w:highlight w:val="none"/>
              </w:rPr>
            </w:pPr>
            <w:r>
              <w:rPr>
                <w:rFonts w:hint="default"/>
                <w:highlight w:val="none"/>
              </w:rPr>
              <w:t>指标</w:t>
            </w:r>
          </w:p>
        </w:tc>
        <w:tc>
          <w:tcPr>
            <w:tcW w:w="347" w:type="pct"/>
            <w:shd w:val="clear" w:color="auto" w:fill="auto"/>
            <w:vAlign w:val="center"/>
          </w:tcPr>
          <w:p w14:paraId="16D1FBEA">
            <w:pPr>
              <w:pStyle w:val="45"/>
              <w:bidi w:val="0"/>
              <w:rPr>
                <w:rFonts w:hint="default"/>
                <w:highlight w:val="none"/>
              </w:rPr>
            </w:pPr>
            <w:r>
              <w:rPr>
                <w:rFonts w:hint="default"/>
                <w:highlight w:val="none"/>
              </w:rPr>
              <w:t>工程阶段</w:t>
            </w:r>
          </w:p>
        </w:tc>
        <w:tc>
          <w:tcPr>
            <w:tcW w:w="811" w:type="pct"/>
            <w:shd w:val="clear" w:color="auto" w:fill="auto"/>
            <w:vAlign w:val="center"/>
          </w:tcPr>
          <w:p w14:paraId="1C950916">
            <w:pPr>
              <w:pStyle w:val="45"/>
              <w:bidi w:val="0"/>
              <w:rPr>
                <w:rFonts w:hint="default"/>
                <w:highlight w:val="none"/>
              </w:rPr>
            </w:pPr>
            <w:r>
              <w:rPr>
                <w:rFonts w:hint="default"/>
                <w:highlight w:val="none"/>
              </w:rPr>
              <w:t>监测点位</w:t>
            </w:r>
          </w:p>
        </w:tc>
        <w:tc>
          <w:tcPr>
            <w:tcW w:w="1265" w:type="pct"/>
            <w:shd w:val="clear" w:color="auto" w:fill="auto"/>
            <w:vAlign w:val="center"/>
          </w:tcPr>
          <w:p w14:paraId="247B4C31">
            <w:pPr>
              <w:pStyle w:val="45"/>
              <w:bidi w:val="0"/>
              <w:rPr>
                <w:rFonts w:hint="default"/>
                <w:highlight w:val="none"/>
                <w:lang w:val="en-US" w:eastAsia="zh-CN"/>
              </w:rPr>
            </w:pPr>
            <w:r>
              <w:rPr>
                <w:rFonts w:hint="default"/>
                <w:highlight w:val="none"/>
                <w:lang w:val="en-US" w:eastAsia="zh-CN"/>
              </w:rPr>
              <w:t>监测标准方法</w:t>
            </w:r>
          </w:p>
        </w:tc>
        <w:tc>
          <w:tcPr>
            <w:tcW w:w="892" w:type="pct"/>
            <w:shd w:val="clear" w:color="auto" w:fill="auto"/>
            <w:vAlign w:val="center"/>
          </w:tcPr>
          <w:p w14:paraId="391A6D54">
            <w:pPr>
              <w:pStyle w:val="45"/>
              <w:bidi w:val="0"/>
              <w:rPr>
                <w:rFonts w:hint="default"/>
                <w:highlight w:val="none"/>
                <w:lang w:val="en-US" w:eastAsia="zh-CN"/>
              </w:rPr>
            </w:pPr>
            <w:r>
              <w:rPr>
                <w:rFonts w:hint="default"/>
                <w:highlight w:val="none"/>
              </w:rPr>
              <w:t>执行标准</w:t>
            </w:r>
            <w:r>
              <w:rPr>
                <w:rFonts w:hint="default"/>
                <w:highlight w:val="none"/>
                <w:lang w:val="en-US" w:eastAsia="zh-CN"/>
              </w:rPr>
              <w:t>值</w:t>
            </w:r>
          </w:p>
          <w:p w14:paraId="44AB3A52">
            <w:pPr>
              <w:pStyle w:val="45"/>
              <w:bidi w:val="0"/>
              <w:rPr>
                <w:rFonts w:hint="default"/>
                <w:highlight w:val="none"/>
                <w:lang w:val="en-US" w:eastAsia="zh-CN"/>
              </w:rPr>
            </w:pPr>
            <w:r>
              <w:rPr>
                <w:rFonts w:hint="default"/>
                <w:highlight w:val="none"/>
                <w:lang w:val="en-US" w:eastAsia="zh-CN"/>
              </w:rPr>
              <w:t>（监控浓度限值）</w:t>
            </w:r>
          </w:p>
        </w:tc>
        <w:tc>
          <w:tcPr>
            <w:tcW w:w="760" w:type="pct"/>
            <w:shd w:val="clear" w:color="auto" w:fill="auto"/>
            <w:vAlign w:val="center"/>
          </w:tcPr>
          <w:p w14:paraId="78D85935">
            <w:pPr>
              <w:pStyle w:val="45"/>
              <w:bidi w:val="0"/>
              <w:rPr>
                <w:rFonts w:hint="default"/>
                <w:highlight w:val="none"/>
              </w:rPr>
            </w:pPr>
            <w:r>
              <w:rPr>
                <w:rFonts w:hint="default"/>
                <w:highlight w:val="none"/>
              </w:rPr>
              <w:t>监测次数</w:t>
            </w:r>
          </w:p>
        </w:tc>
      </w:tr>
      <w:tr w14:paraId="6223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pct"/>
            <w:shd w:val="clear" w:color="auto" w:fill="auto"/>
            <w:vAlign w:val="center"/>
          </w:tcPr>
          <w:p w14:paraId="7A43A2FA">
            <w:pPr>
              <w:pStyle w:val="45"/>
              <w:bidi w:val="0"/>
              <w:rPr>
                <w:rFonts w:hint="default"/>
                <w:highlight w:val="none"/>
                <w:lang w:val="en-US" w:eastAsia="zh-CN"/>
              </w:rPr>
            </w:pPr>
            <w:r>
              <w:rPr>
                <w:rFonts w:hint="default"/>
                <w:highlight w:val="none"/>
                <w:lang w:val="en-US" w:eastAsia="zh-CN"/>
              </w:rPr>
              <w:t>氯气</w:t>
            </w:r>
          </w:p>
        </w:tc>
        <w:tc>
          <w:tcPr>
            <w:tcW w:w="347" w:type="pct"/>
            <w:shd w:val="clear" w:color="auto" w:fill="auto"/>
            <w:vAlign w:val="center"/>
          </w:tcPr>
          <w:p w14:paraId="24556653">
            <w:pPr>
              <w:pStyle w:val="45"/>
              <w:bidi w:val="0"/>
              <w:rPr>
                <w:rFonts w:hint="default"/>
                <w:highlight w:val="none"/>
              </w:rPr>
            </w:pPr>
            <w:r>
              <w:rPr>
                <w:rFonts w:hint="default"/>
                <w:highlight w:val="none"/>
              </w:rPr>
              <w:t>拆除</w:t>
            </w:r>
          </w:p>
        </w:tc>
        <w:tc>
          <w:tcPr>
            <w:tcW w:w="811" w:type="pct"/>
            <w:shd w:val="clear" w:color="auto" w:fill="auto"/>
            <w:vAlign w:val="center"/>
          </w:tcPr>
          <w:p w14:paraId="71B823A6">
            <w:pPr>
              <w:pStyle w:val="45"/>
              <w:bidi w:val="0"/>
              <w:rPr>
                <w:rFonts w:hint="default"/>
                <w:highlight w:val="none"/>
              </w:rPr>
            </w:pPr>
            <w:r>
              <w:rPr>
                <w:rFonts w:hint="default"/>
                <w:highlight w:val="none"/>
              </w:rPr>
              <w:t>无组织监测：车间上、下风向10m处</w:t>
            </w:r>
          </w:p>
        </w:tc>
        <w:tc>
          <w:tcPr>
            <w:tcW w:w="1265" w:type="pct"/>
            <w:shd w:val="clear" w:color="auto" w:fill="auto"/>
            <w:vAlign w:val="center"/>
          </w:tcPr>
          <w:p w14:paraId="200738E3">
            <w:pPr>
              <w:pStyle w:val="45"/>
              <w:bidi w:val="0"/>
              <w:rPr>
                <w:rFonts w:hint="default"/>
                <w:highlight w:val="none"/>
              </w:rPr>
            </w:pPr>
            <w:r>
              <w:rPr>
                <w:rFonts w:hint="default"/>
                <w:highlight w:val="none"/>
              </w:rPr>
              <w:t>《固定污染源排气氯气的测定 甲基橙分光光度法》HJ/T30-1999</w:t>
            </w:r>
          </w:p>
        </w:tc>
        <w:tc>
          <w:tcPr>
            <w:tcW w:w="892" w:type="pct"/>
            <w:shd w:val="clear" w:color="auto" w:fill="auto"/>
            <w:vAlign w:val="center"/>
          </w:tcPr>
          <w:p w14:paraId="5B856B8A">
            <w:pPr>
              <w:pStyle w:val="45"/>
              <w:bidi w:val="0"/>
              <w:rPr>
                <w:rFonts w:hint="default"/>
                <w:highlight w:val="none"/>
                <w:lang w:val="en-US" w:eastAsia="zh-CN"/>
              </w:rPr>
            </w:pPr>
            <w:r>
              <w:rPr>
                <w:rFonts w:hint="default"/>
                <w:highlight w:val="none"/>
                <w:lang w:val="en-US" w:eastAsia="zh-CN"/>
              </w:rPr>
              <w:t>0.1mg/m3</w:t>
            </w:r>
          </w:p>
        </w:tc>
        <w:tc>
          <w:tcPr>
            <w:tcW w:w="760" w:type="pct"/>
            <w:shd w:val="clear" w:color="auto" w:fill="auto"/>
            <w:vAlign w:val="center"/>
          </w:tcPr>
          <w:p w14:paraId="4988DD8B">
            <w:pPr>
              <w:pStyle w:val="45"/>
              <w:bidi w:val="0"/>
              <w:rPr>
                <w:rFonts w:hint="default"/>
                <w:highlight w:val="none"/>
              </w:rPr>
            </w:pPr>
            <w:r>
              <w:rPr>
                <w:rFonts w:hint="default"/>
                <w:highlight w:val="none"/>
              </w:rPr>
              <w:t>2次/</w:t>
            </w:r>
            <w:r>
              <w:rPr>
                <w:rFonts w:hint="default"/>
                <w:highlight w:val="none"/>
                <w:lang w:val="en-US" w:eastAsia="zh-CN"/>
              </w:rPr>
              <w:t>物料转移期间、拆除</w:t>
            </w:r>
            <w:r>
              <w:rPr>
                <w:rFonts w:hint="default"/>
                <w:highlight w:val="none"/>
              </w:rPr>
              <w:t>期间</w:t>
            </w:r>
          </w:p>
        </w:tc>
      </w:tr>
      <w:tr w14:paraId="12FA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pct"/>
            <w:shd w:val="clear" w:color="auto" w:fill="auto"/>
            <w:vAlign w:val="center"/>
          </w:tcPr>
          <w:p w14:paraId="242F659D">
            <w:pPr>
              <w:pStyle w:val="45"/>
              <w:bidi w:val="0"/>
              <w:rPr>
                <w:rFonts w:hint="default"/>
                <w:highlight w:val="none"/>
              </w:rPr>
            </w:pPr>
            <w:r>
              <w:rPr>
                <w:rFonts w:hint="default"/>
                <w:highlight w:val="none"/>
              </w:rPr>
              <w:t>氯化氢</w:t>
            </w:r>
          </w:p>
        </w:tc>
        <w:tc>
          <w:tcPr>
            <w:tcW w:w="347" w:type="pct"/>
            <w:shd w:val="clear" w:color="auto" w:fill="auto"/>
            <w:vAlign w:val="center"/>
          </w:tcPr>
          <w:p w14:paraId="4CDB2D4C">
            <w:pPr>
              <w:pStyle w:val="45"/>
              <w:bidi w:val="0"/>
              <w:rPr>
                <w:rFonts w:hint="default"/>
                <w:highlight w:val="none"/>
              </w:rPr>
            </w:pPr>
            <w:r>
              <w:rPr>
                <w:rFonts w:hint="default"/>
                <w:highlight w:val="none"/>
              </w:rPr>
              <w:t>拆除</w:t>
            </w:r>
          </w:p>
        </w:tc>
        <w:tc>
          <w:tcPr>
            <w:tcW w:w="811" w:type="pct"/>
            <w:shd w:val="clear" w:color="auto" w:fill="auto"/>
            <w:vAlign w:val="center"/>
          </w:tcPr>
          <w:p w14:paraId="195A09B8">
            <w:pPr>
              <w:pStyle w:val="45"/>
              <w:bidi w:val="0"/>
              <w:rPr>
                <w:rFonts w:hint="default"/>
                <w:highlight w:val="none"/>
              </w:rPr>
            </w:pPr>
            <w:r>
              <w:rPr>
                <w:rFonts w:hint="default"/>
                <w:highlight w:val="none"/>
              </w:rPr>
              <w:t>无组织监测：车间上、下风向10m处</w:t>
            </w:r>
          </w:p>
        </w:tc>
        <w:tc>
          <w:tcPr>
            <w:tcW w:w="1265" w:type="pct"/>
            <w:shd w:val="clear" w:color="auto" w:fill="auto"/>
            <w:vAlign w:val="center"/>
          </w:tcPr>
          <w:p w14:paraId="60F18B73">
            <w:pPr>
              <w:pStyle w:val="45"/>
              <w:bidi w:val="0"/>
              <w:rPr>
                <w:rFonts w:hint="default"/>
                <w:highlight w:val="none"/>
              </w:rPr>
            </w:pPr>
            <w:r>
              <w:rPr>
                <w:rFonts w:hint="default"/>
                <w:highlight w:val="none"/>
              </w:rPr>
              <w:t>《环境空气和废弃 氯化氢的测定 离子色谱法（暂行）》HJ549-2009</w:t>
            </w:r>
          </w:p>
        </w:tc>
        <w:tc>
          <w:tcPr>
            <w:tcW w:w="892" w:type="pct"/>
            <w:shd w:val="clear" w:color="auto" w:fill="auto"/>
            <w:vAlign w:val="center"/>
          </w:tcPr>
          <w:p w14:paraId="630DC5D6">
            <w:pPr>
              <w:pStyle w:val="45"/>
              <w:bidi w:val="0"/>
              <w:rPr>
                <w:rFonts w:hint="default"/>
                <w:highlight w:val="none"/>
                <w:lang w:val="en-US" w:eastAsia="zh-CN"/>
              </w:rPr>
            </w:pPr>
            <w:r>
              <w:rPr>
                <w:rFonts w:hint="default"/>
                <w:highlight w:val="none"/>
                <w:lang w:val="en-US" w:eastAsia="zh-CN"/>
              </w:rPr>
              <w:t>0.05mg/m3</w:t>
            </w:r>
          </w:p>
        </w:tc>
        <w:tc>
          <w:tcPr>
            <w:tcW w:w="760" w:type="pct"/>
            <w:shd w:val="clear" w:color="auto" w:fill="auto"/>
            <w:vAlign w:val="center"/>
          </w:tcPr>
          <w:p w14:paraId="09C0DCBF">
            <w:pPr>
              <w:pStyle w:val="45"/>
              <w:bidi w:val="0"/>
              <w:rPr>
                <w:rFonts w:hint="default"/>
                <w:highlight w:val="none"/>
              </w:rPr>
            </w:pPr>
            <w:r>
              <w:rPr>
                <w:rFonts w:hint="default"/>
                <w:highlight w:val="none"/>
              </w:rPr>
              <w:t>2次/</w:t>
            </w:r>
            <w:r>
              <w:rPr>
                <w:rFonts w:hint="default"/>
                <w:highlight w:val="none"/>
                <w:lang w:val="en-US" w:eastAsia="zh-CN"/>
              </w:rPr>
              <w:t>物料转移期间、拆除</w:t>
            </w:r>
            <w:r>
              <w:rPr>
                <w:rFonts w:hint="default"/>
                <w:highlight w:val="none"/>
              </w:rPr>
              <w:t>期间</w:t>
            </w:r>
          </w:p>
        </w:tc>
      </w:tr>
      <w:tr w14:paraId="3591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pct"/>
            <w:shd w:val="clear" w:color="auto" w:fill="auto"/>
            <w:vAlign w:val="center"/>
          </w:tcPr>
          <w:p w14:paraId="7D5E59AC">
            <w:pPr>
              <w:pStyle w:val="45"/>
              <w:bidi w:val="0"/>
              <w:rPr>
                <w:rFonts w:hint="default"/>
                <w:highlight w:val="none"/>
                <w:lang w:val="en-US" w:eastAsia="zh-CN"/>
              </w:rPr>
            </w:pPr>
            <w:r>
              <w:rPr>
                <w:rFonts w:hint="default"/>
                <w:highlight w:val="none"/>
                <w:lang w:val="en-US" w:eastAsia="zh-CN"/>
              </w:rPr>
              <w:t>氟化物</w:t>
            </w:r>
          </w:p>
        </w:tc>
        <w:tc>
          <w:tcPr>
            <w:tcW w:w="347" w:type="pct"/>
            <w:shd w:val="clear" w:color="auto" w:fill="auto"/>
            <w:vAlign w:val="center"/>
          </w:tcPr>
          <w:p w14:paraId="0FD90644">
            <w:pPr>
              <w:pStyle w:val="45"/>
              <w:bidi w:val="0"/>
              <w:rPr>
                <w:rFonts w:hint="default"/>
                <w:highlight w:val="none"/>
              </w:rPr>
            </w:pPr>
            <w:r>
              <w:rPr>
                <w:rFonts w:hint="default"/>
                <w:highlight w:val="none"/>
              </w:rPr>
              <w:t>拆除</w:t>
            </w:r>
          </w:p>
        </w:tc>
        <w:tc>
          <w:tcPr>
            <w:tcW w:w="811" w:type="pct"/>
            <w:shd w:val="clear" w:color="auto" w:fill="auto"/>
            <w:vAlign w:val="center"/>
          </w:tcPr>
          <w:p w14:paraId="03A5D230">
            <w:pPr>
              <w:pStyle w:val="45"/>
              <w:bidi w:val="0"/>
              <w:rPr>
                <w:rFonts w:hint="default"/>
                <w:highlight w:val="none"/>
              </w:rPr>
            </w:pPr>
            <w:r>
              <w:rPr>
                <w:rFonts w:hint="default"/>
                <w:highlight w:val="none"/>
              </w:rPr>
              <w:t>无组织监测：车间上、下风向10m处</w:t>
            </w:r>
          </w:p>
        </w:tc>
        <w:tc>
          <w:tcPr>
            <w:tcW w:w="1265" w:type="pct"/>
            <w:shd w:val="clear" w:color="auto" w:fill="auto"/>
            <w:vAlign w:val="center"/>
          </w:tcPr>
          <w:p w14:paraId="25580287">
            <w:pPr>
              <w:pStyle w:val="45"/>
              <w:bidi w:val="0"/>
              <w:rPr>
                <w:rFonts w:hint="default"/>
                <w:highlight w:val="none"/>
              </w:rPr>
            </w:pPr>
            <w:r>
              <w:rPr>
                <w:rFonts w:hint="default"/>
                <w:highlight w:val="none"/>
              </w:rPr>
              <w:t>《环境空气 氟化物的测定 石灰滤纸采样氟离子选择电极法》（HJ481-2009）或《滤膜采样氟离子选择电极法》HJ480-2009</w:t>
            </w:r>
          </w:p>
        </w:tc>
        <w:tc>
          <w:tcPr>
            <w:tcW w:w="892" w:type="pct"/>
            <w:shd w:val="clear" w:color="auto" w:fill="auto"/>
            <w:vAlign w:val="center"/>
          </w:tcPr>
          <w:p w14:paraId="79E60A0D">
            <w:pPr>
              <w:pStyle w:val="45"/>
              <w:bidi w:val="0"/>
              <w:rPr>
                <w:rFonts w:hint="default"/>
                <w:highlight w:val="none"/>
                <w:lang w:val="en-US" w:eastAsia="zh-CN"/>
              </w:rPr>
            </w:pPr>
            <w:r>
              <w:rPr>
                <w:rFonts w:hint="default"/>
                <w:highlight w:val="none"/>
                <w:lang w:val="en-US" w:eastAsia="zh-CN"/>
              </w:rPr>
              <w:t>0.02mg/m3</w:t>
            </w:r>
          </w:p>
        </w:tc>
        <w:tc>
          <w:tcPr>
            <w:tcW w:w="760" w:type="pct"/>
            <w:shd w:val="clear" w:color="auto" w:fill="auto"/>
            <w:vAlign w:val="center"/>
          </w:tcPr>
          <w:p w14:paraId="5001FA1E">
            <w:pPr>
              <w:pStyle w:val="45"/>
              <w:bidi w:val="0"/>
              <w:rPr>
                <w:rFonts w:hint="default"/>
                <w:highlight w:val="none"/>
              </w:rPr>
            </w:pPr>
            <w:r>
              <w:rPr>
                <w:rFonts w:hint="default"/>
                <w:highlight w:val="none"/>
              </w:rPr>
              <w:t>2次/</w:t>
            </w:r>
            <w:r>
              <w:rPr>
                <w:rFonts w:hint="default"/>
                <w:highlight w:val="none"/>
                <w:lang w:val="en-US" w:eastAsia="zh-CN"/>
              </w:rPr>
              <w:t>物料转移期间、拆除</w:t>
            </w:r>
            <w:r>
              <w:rPr>
                <w:rFonts w:hint="default"/>
                <w:highlight w:val="none"/>
              </w:rPr>
              <w:t>期间</w:t>
            </w:r>
          </w:p>
        </w:tc>
      </w:tr>
      <w:tr w14:paraId="75BF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pct"/>
            <w:shd w:val="clear" w:color="auto" w:fill="auto"/>
            <w:vAlign w:val="center"/>
          </w:tcPr>
          <w:p w14:paraId="44E08822">
            <w:pPr>
              <w:pStyle w:val="45"/>
              <w:bidi w:val="0"/>
              <w:rPr>
                <w:rFonts w:hint="default"/>
                <w:highlight w:val="none"/>
              </w:rPr>
            </w:pPr>
            <w:r>
              <w:rPr>
                <w:rFonts w:hint="default"/>
                <w:highlight w:val="none"/>
              </w:rPr>
              <w:t>颗粒物</w:t>
            </w:r>
          </w:p>
        </w:tc>
        <w:tc>
          <w:tcPr>
            <w:tcW w:w="347" w:type="pct"/>
            <w:shd w:val="clear" w:color="auto" w:fill="auto"/>
            <w:vAlign w:val="center"/>
          </w:tcPr>
          <w:p w14:paraId="272E1D98">
            <w:pPr>
              <w:pStyle w:val="45"/>
              <w:bidi w:val="0"/>
              <w:rPr>
                <w:rFonts w:hint="default"/>
                <w:highlight w:val="none"/>
              </w:rPr>
            </w:pPr>
            <w:r>
              <w:rPr>
                <w:rFonts w:hint="default"/>
                <w:highlight w:val="none"/>
              </w:rPr>
              <w:t>拆除</w:t>
            </w:r>
          </w:p>
        </w:tc>
        <w:tc>
          <w:tcPr>
            <w:tcW w:w="811" w:type="pct"/>
            <w:shd w:val="clear" w:color="auto" w:fill="auto"/>
            <w:vAlign w:val="center"/>
          </w:tcPr>
          <w:p w14:paraId="5261A97A">
            <w:pPr>
              <w:pStyle w:val="45"/>
              <w:bidi w:val="0"/>
              <w:rPr>
                <w:rFonts w:hint="default"/>
                <w:highlight w:val="none"/>
              </w:rPr>
            </w:pPr>
            <w:r>
              <w:rPr>
                <w:rFonts w:hint="default"/>
                <w:highlight w:val="none"/>
              </w:rPr>
              <w:t>无组织监测：车间上、下风向10m处</w:t>
            </w:r>
          </w:p>
        </w:tc>
        <w:tc>
          <w:tcPr>
            <w:tcW w:w="1265" w:type="pct"/>
            <w:shd w:val="clear" w:color="auto" w:fill="auto"/>
            <w:vAlign w:val="center"/>
          </w:tcPr>
          <w:p w14:paraId="6E35D39A">
            <w:pPr>
              <w:pStyle w:val="45"/>
              <w:bidi w:val="0"/>
              <w:rPr>
                <w:rFonts w:hint="default"/>
                <w:highlight w:val="none"/>
              </w:rPr>
            </w:pPr>
            <w:r>
              <w:rPr>
                <w:rFonts w:hint="default"/>
                <w:highlight w:val="none"/>
              </w:rPr>
              <w:t>《环境空气PM10和PM2.5的测定 重量法》HJ618-2011</w:t>
            </w:r>
          </w:p>
        </w:tc>
        <w:tc>
          <w:tcPr>
            <w:tcW w:w="892" w:type="pct"/>
            <w:shd w:val="clear" w:color="auto" w:fill="auto"/>
            <w:vAlign w:val="center"/>
          </w:tcPr>
          <w:p w14:paraId="25EBCDB4">
            <w:pPr>
              <w:pStyle w:val="45"/>
              <w:bidi w:val="0"/>
              <w:rPr>
                <w:rFonts w:hint="default"/>
                <w:highlight w:val="none"/>
                <w:lang w:val="en-US" w:eastAsia="zh-CN"/>
              </w:rPr>
            </w:pPr>
            <w:r>
              <w:rPr>
                <w:rFonts w:hint="default"/>
                <w:highlight w:val="none"/>
                <w:lang w:val="en-US" w:eastAsia="zh-CN"/>
              </w:rPr>
              <w:t>0.5mg/m3</w:t>
            </w:r>
          </w:p>
        </w:tc>
        <w:tc>
          <w:tcPr>
            <w:tcW w:w="760" w:type="pct"/>
            <w:shd w:val="clear" w:color="auto" w:fill="auto"/>
            <w:vAlign w:val="center"/>
          </w:tcPr>
          <w:p w14:paraId="5D5F0D1D">
            <w:pPr>
              <w:pStyle w:val="45"/>
              <w:bidi w:val="0"/>
              <w:rPr>
                <w:rFonts w:hint="default"/>
                <w:highlight w:val="none"/>
                <w:lang w:val="en-US" w:eastAsia="zh-CN"/>
              </w:rPr>
            </w:pPr>
            <w:r>
              <w:rPr>
                <w:rFonts w:hint="default"/>
                <w:highlight w:val="none"/>
              </w:rPr>
              <w:t>2次/</w:t>
            </w:r>
            <w:r>
              <w:rPr>
                <w:rFonts w:hint="default"/>
                <w:highlight w:val="none"/>
                <w:lang w:val="en-US" w:eastAsia="zh-CN"/>
              </w:rPr>
              <w:t>物料转移期间、拆除</w:t>
            </w:r>
            <w:r>
              <w:rPr>
                <w:rFonts w:hint="default"/>
                <w:highlight w:val="none"/>
              </w:rPr>
              <w:t>期间</w:t>
            </w:r>
          </w:p>
        </w:tc>
      </w:tr>
      <w:tr w14:paraId="6AC1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pct"/>
            <w:shd w:val="clear" w:color="auto" w:fill="auto"/>
            <w:vAlign w:val="center"/>
          </w:tcPr>
          <w:p w14:paraId="1B1F9AFE">
            <w:pPr>
              <w:pStyle w:val="45"/>
              <w:bidi w:val="0"/>
              <w:rPr>
                <w:rFonts w:hint="default"/>
                <w:highlight w:val="none"/>
              </w:rPr>
            </w:pPr>
            <w:r>
              <w:rPr>
                <w:rFonts w:hint="default"/>
                <w:highlight w:val="none"/>
              </w:rPr>
              <w:t>非甲烷总烃</w:t>
            </w:r>
          </w:p>
        </w:tc>
        <w:tc>
          <w:tcPr>
            <w:tcW w:w="347" w:type="pct"/>
            <w:shd w:val="clear" w:color="auto" w:fill="auto"/>
            <w:vAlign w:val="center"/>
          </w:tcPr>
          <w:p w14:paraId="48FC1264">
            <w:pPr>
              <w:pStyle w:val="45"/>
              <w:bidi w:val="0"/>
              <w:rPr>
                <w:rFonts w:hint="default"/>
                <w:highlight w:val="none"/>
              </w:rPr>
            </w:pPr>
            <w:r>
              <w:rPr>
                <w:rFonts w:hint="default"/>
                <w:highlight w:val="none"/>
              </w:rPr>
              <w:t>拆除</w:t>
            </w:r>
          </w:p>
        </w:tc>
        <w:tc>
          <w:tcPr>
            <w:tcW w:w="811" w:type="pct"/>
            <w:shd w:val="clear" w:color="auto" w:fill="auto"/>
            <w:vAlign w:val="center"/>
          </w:tcPr>
          <w:p w14:paraId="016963F2">
            <w:pPr>
              <w:pStyle w:val="45"/>
              <w:bidi w:val="0"/>
              <w:rPr>
                <w:rFonts w:hint="default"/>
                <w:highlight w:val="none"/>
              </w:rPr>
            </w:pPr>
            <w:r>
              <w:rPr>
                <w:rFonts w:hint="default"/>
                <w:highlight w:val="none"/>
              </w:rPr>
              <w:t>无组织监测：车间上、下风向10m处</w:t>
            </w:r>
          </w:p>
        </w:tc>
        <w:tc>
          <w:tcPr>
            <w:tcW w:w="1265" w:type="pct"/>
            <w:shd w:val="clear" w:color="auto" w:fill="auto"/>
            <w:vAlign w:val="center"/>
          </w:tcPr>
          <w:p w14:paraId="4E5D0751">
            <w:pPr>
              <w:pStyle w:val="45"/>
              <w:bidi w:val="0"/>
              <w:rPr>
                <w:rFonts w:hint="default"/>
                <w:highlight w:val="none"/>
              </w:rPr>
            </w:pPr>
            <w:r>
              <w:rPr>
                <w:rFonts w:hint="default"/>
                <w:highlight w:val="none"/>
                <w:lang w:eastAsia="zh-CN"/>
              </w:rPr>
              <w:t>《</w:t>
            </w:r>
            <w:r>
              <w:rPr>
                <w:rFonts w:hint="default"/>
                <w:highlight w:val="none"/>
              </w:rPr>
              <w:t>固定污染源废气 总烃、甲烷和非甲烷总烃的测定 气相色谱法</w:t>
            </w:r>
            <w:r>
              <w:rPr>
                <w:rFonts w:hint="default"/>
                <w:highlight w:val="none"/>
                <w:lang w:eastAsia="zh-CN"/>
              </w:rPr>
              <w:t>》（</w:t>
            </w:r>
            <w:r>
              <w:rPr>
                <w:rFonts w:hint="default"/>
                <w:highlight w:val="none"/>
              </w:rPr>
              <w:t>HJ38-2017</w:t>
            </w:r>
            <w:r>
              <w:rPr>
                <w:rFonts w:hint="default"/>
                <w:highlight w:val="none"/>
                <w:lang w:eastAsia="zh-CN"/>
              </w:rPr>
              <w:t>）</w:t>
            </w:r>
          </w:p>
        </w:tc>
        <w:tc>
          <w:tcPr>
            <w:tcW w:w="892" w:type="pct"/>
            <w:shd w:val="clear" w:color="auto" w:fill="auto"/>
            <w:vAlign w:val="center"/>
          </w:tcPr>
          <w:p w14:paraId="5BE15629">
            <w:pPr>
              <w:pStyle w:val="45"/>
              <w:bidi w:val="0"/>
              <w:rPr>
                <w:rFonts w:hint="default"/>
                <w:highlight w:val="none"/>
                <w:lang w:val="en-US" w:eastAsia="zh-CN"/>
              </w:rPr>
            </w:pPr>
            <w:r>
              <w:rPr>
                <w:rFonts w:hint="default"/>
                <w:highlight w:val="none"/>
                <w:lang w:val="en-US" w:eastAsia="zh-CN"/>
              </w:rPr>
              <w:t>4.0mg/m3</w:t>
            </w:r>
          </w:p>
        </w:tc>
        <w:tc>
          <w:tcPr>
            <w:tcW w:w="760" w:type="pct"/>
            <w:shd w:val="clear" w:color="auto" w:fill="auto"/>
            <w:vAlign w:val="center"/>
          </w:tcPr>
          <w:p w14:paraId="01D0E0EF">
            <w:pPr>
              <w:pStyle w:val="45"/>
              <w:bidi w:val="0"/>
              <w:rPr>
                <w:rFonts w:hint="default"/>
                <w:highlight w:val="none"/>
              </w:rPr>
            </w:pPr>
            <w:r>
              <w:rPr>
                <w:rFonts w:hint="default"/>
                <w:highlight w:val="none"/>
              </w:rPr>
              <w:t>2次/</w:t>
            </w:r>
            <w:r>
              <w:rPr>
                <w:rFonts w:hint="default"/>
                <w:highlight w:val="none"/>
                <w:lang w:val="en-US" w:eastAsia="zh-CN"/>
              </w:rPr>
              <w:t>物料转移期间、拆除</w:t>
            </w:r>
            <w:r>
              <w:rPr>
                <w:rFonts w:hint="default"/>
                <w:highlight w:val="none"/>
              </w:rPr>
              <w:t>期间</w:t>
            </w:r>
          </w:p>
        </w:tc>
      </w:tr>
      <w:tr w14:paraId="1EF5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pct"/>
            <w:shd w:val="clear" w:color="auto" w:fill="auto"/>
            <w:vAlign w:val="center"/>
          </w:tcPr>
          <w:p w14:paraId="4DD587A5">
            <w:pPr>
              <w:pStyle w:val="45"/>
              <w:bidi w:val="0"/>
              <w:rPr>
                <w:rFonts w:hint="default"/>
                <w:highlight w:val="none"/>
                <w:lang w:val="en-US" w:eastAsia="zh-CN"/>
              </w:rPr>
            </w:pPr>
            <w:r>
              <w:rPr>
                <w:rFonts w:hint="default"/>
                <w:highlight w:val="none"/>
                <w:lang w:val="en-US" w:eastAsia="zh-CN"/>
              </w:rPr>
              <w:t>偏</w:t>
            </w:r>
            <w:r>
              <w:rPr>
                <w:rFonts w:hint="eastAsia"/>
                <w:highlight w:val="none"/>
                <w:lang w:val="en-US" w:eastAsia="zh-CN"/>
              </w:rPr>
              <w:t>二</w:t>
            </w:r>
            <w:r>
              <w:rPr>
                <w:rFonts w:hint="default"/>
                <w:highlight w:val="none"/>
                <w:lang w:val="en-US" w:eastAsia="zh-CN"/>
              </w:rPr>
              <w:t>氯乙烯（1</w:t>
            </w:r>
            <w:r>
              <w:rPr>
                <w:rFonts w:hint="eastAsia"/>
                <w:highlight w:val="none"/>
                <w:lang w:val="en-US" w:eastAsia="zh-CN"/>
              </w:rPr>
              <w:t>，</w:t>
            </w:r>
            <w:r>
              <w:rPr>
                <w:rFonts w:hint="default"/>
                <w:highlight w:val="none"/>
                <w:lang w:val="en-US" w:eastAsia="zh-CN"/>
              </w:rPr>
              <w:t>1-二氯乙烯）</w:t>
            </w:r>
          </w:p>
        </w:tc>
        <w:tc>
          <w:tcPr>
            <w:tcW w:w="347" w:type="pct"/>
            <w:shd w:val="clear" w:color="auto" w:fill="auto"/>
            <w:vAlign w:val="center"/>
          </w:tcPr>
          <w:p w14:paraId="579EC76C">
            <w:pPr>
              <w:pStyle w:val="45"/>
              <w:bidi w:val="0"/>
              <w:rPr>
                <w:rFonts w:hint="default"/>
                <w:highlight w:val="none"/>
              </w:rPr>
            </w:pPr>
            <w:r>
              <w:rPr>
                <w:rFonts w:hint="default"/>
                <w:highlight w:val="none"/>
              </w:rPr>
              <w:t>拆除</w:t>
            </w:r>
          </w:p>
        </w:tc>
        <w:tc>
          <w:tcPr>
            <w:tcW w:w="811" w:type="pct"/>
            <w:shd w:val="clear" w:color="auto" w:fill="auto"/>
            <w:vAlign w:val="center"/>
          </w:tcPr>
          <w:p w14:paraId="7C494F66">
            <w:pPr>
              <w:pStyle w:val="45"/>
              <w:bidi w:val="0"/>
              <w:rPr>
                <w:rFonts w:hint="default"/>
                <w:highlight w:val="none"/>
              </w:rPr>
            </w:pPr>
            <w:r>
              <w:rPr>
                <w:rFonts w:hint="default"/>
                <w:highlight w:val="none"/>
              </w:rPr>
              <w:t>无组织监测：车间上、下风向10m处</w:t>
            </w:r>
          </w:p>
        </w:tc>
        <w:tc>
          <w:tcPr>
            <w:tcW w:w="1265" w:type="pct"/>
            <w:shd w:val="clear" w:color="auto" w:fill="auto"/>
            <w:vAlign w:val="center"/>
          </w:tcPr>
          <w:p w14:paraId="3BE01714">
            <w:pPr>
              <w:pStyle w:val="45"/>
              <w:bidi w:val="0"/>
              <w:rPr>
                <w:rFonts w:hint="default"/>
                <w:highlight w:val="none"/>
                <w:lang w:eastAsia="zh-CN"/>
              </w:rPr>
            </w:pPr>
            <w:r>
              <w:rPr>
                <w:rFonts w:hint="eastAsia"/>
                <w:highlight w:val="none"/>
                <w:lang w:eastAsia="zh-CN"/>
              </w:rPr>
              <w:t>《环境空气65种挥发性有机物的测定</w:t>
            </w:r>
            <w:r>
              <w:rPr>
                <w:rFonts w:hint="eastAsia"/>
                <w:highlight w:val="none"/>
                <w:lang w:val="en-US" w:eastAsia="zh-CN"/>
              </w:rPr>
              <w:t xml:space="preserve"> </w:t>
            </w:r>
            <w:r>
              <w:rPr>
                <w:rFonts w:hint="eastAsia"/>
                <w:highlight w:val="none"/>
                <w:lang w:eastAsia="zh-CN"/>
              </w:rPr>
              <w:t>罐采样/气相色谱-质谱法》（HJ</w:t>
            </w:r>
            <w:r>
              <w:rPr>
                <w:rFonts w:hint="eastAsia"/>
                <w:highlight w:val="none"/>
                <w:lang w:val="en-US" w:eastAsia="zh-CN"/>
              </w:rPr>
              <w:t xml:space="preserve"> </w:t>
            </w:r>
            <w:r>
              <w:rPr>
                <w:rFonts w:hint="eastAsia"/>
                <w:highlight w:val="none"/>
                <w:lang w:eastAsia="zh-CN"/>
              </w:rPr>
              <w:t>759-2023）</w:t>
            </w:r>
          </w:p>
        </w:tc>
        <w:tc>
          <w:tcPr>
            <w:tcW w:w="892" w:type="pct"/>
            <w:shd w:val="clear" w:color="auto" w:fill="auto"/>
            <w:vAlign w:val="center"/>
          </w:tcPr>
          <w:p w14:paraId="706B8E3B">
            <w:pPr>
              <w:pStyle w:val="45"/>
              <w:bidi w:val="0"/>
              <w:rPr>
                <w:rFonts w:hint="eastAsia"/>
                <w:highlight w:val="none"/>
                <w:lang w:val="en-US" w:eastAsia="zh-CN"/>
              </w:rPr>
            </w:pPr>
            <w:r>
              <w:rPr>
                <w:rFonts w:hint="eastAsia"/>
                <w:highlight w:val="none"/>
                <w:lang w:val="en-US" w:eastAsia="zh-CN"/>
              </w:rPr>
              <w:t>氯乙烯：0.15</w:t>
            </w:r>
          </w:p>
          <w:p w14:paraId="279018F4">
            <w:pPr>
              <w:pStyle w:val="45"/>
              <w:bidi w:val="0"/>
              <w:rPr>
                <w:rFonts w:hint="eastAsia"/>
                <w:highlight w:val="none"/>
                <w:lang w:val="en-US" w:eastAsia="zh-CN"/>
              </w:rPr>
            </w:pPr>
            <w:r>
              <w:rPr>
                <w:rFonts w:hint="eastAsia"/>
                <w:highlight w:val="none"/>
                <w:lang w:val="en-US" w:eastAsia="zh-CN"/>
              </w:rPr>
              <w:t>三氯乙烯：0.6</w:t>
            </w:r>
          </w:p>
          <w:p w14:paraId="34C1730D">
            <w:pPr>
              <w:pStyle w:val="45"/>
              <w:bidi w:val="0"/>
              <w:rPr>
                <w:rFonts w:hint="default"/>
                <w:highlight w:val="none"/>
                <w:lang w:val="en-US" w:eastAsia="zh-CN"/>
              </w:rPr>
            </w:pPr>
            <w:r>
              <w:rPr>
                <w:rFonts w:hint="eastAsia"/>
                <w:highlight w:val="none"/>
                <w:lang w:val="en-US" w:eastAsia="zh-CN"/>
              </w:rPr>
              <w:t>1，2-二氯乙烯（全部异构体）=800/50=16</w:t>
            </w:r>
            <w:r>
              <w:rPr>
                <w:rFonts w:hint="default"/>
                <w:highlight w:val="none"/>
                <w:lang w:val="en-US" w:eastAsia="zh-CN"/>
              </w:rPr>
              <w:t>mg/m3</w:t>
            </w:r>
          </w:p>
        </w:tc>
        <w:tc>
          <w:tcPr>
            <w:tcW w:w="760" w:type="pct"/>
            <w:shd w:val="clear" w:color="auto" w:fill="auto"/>
            <w:vAlign w:val="center"/>
          </w:tcPr>
          <w:p w14:paraId="639B4B76">
            <w:pPr>
              <w:pStyle w:val="45"/>
              <w:bidi w:val="0"/>
              <w:rPr>
                <w:rFonts w:hint="default"/>
                <w:highlight w:val="none"/>
              </w:rPr>
            </w:pPr>
            <w:r>
              <w:rPr>
                <w:rFonts w:hint="default"/>
                <w:highlight w:val="none"/>
              </w:rPr>
              <w:t>2次/</w:t>
            </w:r>
            <w:r>
              <w:rPr>
                <w:rFonts w:hint="default"/>
                <w:highlight w:val="none"/>
                <w:lang w:val="en-US" w:eastAsia="zh-CN"/>
              </w:rPr>
              <w:t>物料转移期间、拆除</w:t>
            </w:r>
            <w:r>
              <w:rPr>
                <w:rFonts w:hint="default"/>
                <w:highlight w:val="none"/>
              </w:rPr>
              <w:t>期间</w:t>
            </w:r>
          </w:p>
        </w:tc>
      </w:tr>
      <w:tr w14:paraId="4A40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shd w:val="clear" w:color="auto" w:fill="auto"/>
            <w:vAlign w:val="center"/>
          </w:tcPr>
          <w:p w14:paraId="20849F1F">
            <w:pPr>
              <w:pStyle w:val="45"/>
              <w:bidi w:val="0"/>
              <w:rPr>
                <w:rFonts w:hint="default"/>
                <w:highlight w:val="none"/>
                <w:lang w:val="en-US" w:eastAsia="zh-CN"/>
              </w:rPr>
            </w:pPr>
            <w:r>
              <w:rPr>
                <w:rFonts w:hint="default"/>
                <w:highlight w:val="none"/>
                <w:lang w:val="en-US" w:eastAsia="zh-CN"/>
              </w:rPr>
              <w:t>注：以上监测指标执行标准为江苏省</w:t>
            </w:r>
            <w:r>
              <w:rPr>
                <w:rFonts w:hint="eastAsia"/>
                <w:highlight w:val="none"/>
                <w:lang w:val="en-US" w:eastAsia="zh-CN"/>
              </w:rPr>
              <w:t>地方标准</w:t>
            </w:r>
            <w:r>
              <w:rPr>
                <w:rFonts w:hint="default"/>
                <w:highlight w:val="none"/>
                <w:lang w:val="en-US" w:eastAsia="zh-CN"/>
              </w:rPr>
              <w:t>《大气污染物综合排放标准》（DB 32/4041—2021）</w:t>
            </w:r>
            <w:r>
              <w:rPr>
                <w:rFonts w:hint="eastAsia"/>
                <w:highlight w:val="none"/>
                <w:lang w:val="en-US" w:eastAsia="zh-CN"/>
              </w:rPr>
              <w:t>；</w:t>
            </w:r>
          </w:p>
          <w:p w14:paraId="26477A33">
            <w:pPr>
              <w:pStyle w:val="45"/>
              <w:bidi w:val="0"/>
              <w:rPr>
                <w:rFonts w:hint="default"/>
                <w:highlight w:val="none"/>
                <w:lang w:val="en-US" w:eastAsia="zh-CN"/>
              </w:rPr>
            </w:pPr>
            <w:r>
              <w:rPr>
                <w:rFonts w:hint="default"/>
                <w:highlight w:val="none"/>
                <w:lang w:val="en-US" w:eastAsia="zh-CN"/>
              </w:rPr>
              <w:t>偏</w:t>
            </w:r>
            <w:r>
              <w:rPr>
                <w:rFonts w:hint="eastAsia"/>
                <w:highlight w:val="none"/>
                <w:lang w:val="en-US" w:eastAsia="zh-CN"/>
              </w:rPr>
              <w:t>二</w:t>
            </w:r>
            <w:r>
              <w:rPr>
                <w:rFonts w:hint="default"/>
                <w:highlight w:val="none"/>
                <w:lang w:val="en-US" w:eastAsia="zh-CN"/>
              </w:rPr>
              <w:t>氯乙烯（1</w:t>
            </w:r>
            <w:r>
              <w:rPr>
                <w:rFonts w:hint="eastAsia"/>
                <w:highlight w:val="none"/>
                <w:lang w:val="en-US" w:eastAsia="zh-CN"/>
              </w:rPr>
              <w:t>，</w:t>
            </w:r>
            <w:r>
              <w:rPr>
                <w:rFonts w:hint="default"/>
                <w:highlight w:val="none"/>
                <w:lang w:val="en-US" w:eastAsia="zh-CN"/>
              </w:rPr>
              <w:t>1-二氯乙烯）</w:t>
            </w:r>
            <w:r>
              <w:rPr>
                <w:rFonts w:hint="eastAsia"/>
                <w:highlight w:val="none"/>
                <w:lang w:val="en-US" w:eastAsia="zh-CN"/>
              </w:rPr>
              <w:t>根据北京市地方标准《大气污染物综合排放标准》（DB11/ 501-2007）计算</w:t>
            </w:r>
            <w:r>
              <w:rPr>
                <w:rFonts w:hint="default"/>
                <w:highlight w:val="none"/>
                <w:lang w:val="en-US" w:eastAsia="zh-CN"/>
              </w:rPr>
              <w:t>。</w:t>
            </w:r>
          </w:p>
        </w:tc>
      </w:tr>
    </w:tbl>
    <w:p w14:paraId="0AFED5E3">
      <w:pPr>
        <w:pStyle w:val="4"/>
        <w:rPr>
          <w:rFonts w:hint="default" w:ascii="Times New Roman" w:hAnsi="Times New Roman" w:cs="Times New Roman"/>
          <w:color w:val="auto"/>
          <w:highlight w:val="none"/>
        </w:rPr>
      </w:pPr>
      <w:bookmarkStart w:id="201" w:name="_Toc4145"/>
      <w:r>
        <w:rPr>
          <w:rFonts w:hint="default" w:ascii="Times New Roman" w:hAnsi="Times New Roman" w:cs="Times New Roman"/>
          <w:color w:val="auto"/>
          <w:highlight w:val="none"/>
          <w:lang w:val="en-US" w:eastAsia="zh-CN"/>
        </w:rPr>
        <w:t xml:space="preserve">5.2.2 </w:t>
      </w:r>
      <w:r>
        <w:rPr>
          <w:rFonts w:hint="default" w:ascii="Times New Roman" w:hAnsi="Times New Roman" w:cs="Times New Roman"/>
          <w:color w:val="auto"/>
          <w:highlight w:val="none"/>
        </w:rPr>
        <w:t>噪声环境监测</w:t>
      </w:r>
      <w:bookmarkEnd w:id="198"/>
      <w:bookmarkEnd w:id="199"/>
      <w:bookmarkEnd w:id="200"/>
      <w:bookmarkEnd w:id="201"/>
    </w:p>
    <w:p w14:paraId="30DCDF47">
      <w:pPr>
        <w:bidi w:val="0"/>
        <w:rPr>
          <w:rFonts w:hint="default" w:ascii="Times New Roman" w:hAnsi="Times New Roman" w:cs="Times New Roman"/>
          <w:color w:val="auto"/>
          <w:highlight w:val="none"/>
          <w:lang w:val="en-US" w:eastAsia="zh-CN"/>
        </w:rPr>
      </w:pPr>
      <w:bookmarkStart w:id="202" w:name="_Toc406099850"/>
      <w:bookmarkStart w:id="203" w:name="_Toc406099574"/>
      <w:bookmarkStart w:id="204" w:name="_Toc406099726"/>
      <w:r>
        <w:rPr>
          <w:rFonts w:hint="default" w:ascii="Times New Roman" w:hAnsi="Times New Roman" w:cs="Times New Roman"/>
          <w:color w:val="auto"/>
          <w:highlight w:val="none"/>
          <w:lang w:val="en-US" w:eastAsia="zh-CN"/>
        </w:rPr>
        <w:t>根据《工厂企业厂界噪声标准》（</w:t>
      </w:r>
      <w:r>
        <w:rPr>
          <w:rFonts w:hint="default" w:ascii="Times New Roman" w:hAnsi="Times New Roman" w:cs="Times New Roman"/>
          <w:color w:val="auto"/>
          <w:highlight w:val="none"/>
        </w:rPr>
        <w:t>GB12348-2019</w:t>
      </w:r>
      <w:r>
        <w:rPr>
          <w:rFonts w:hint="default" w:ascii="Times New Roman" w:hAnsi="Times New Roman" w:cs="Times New Roman"/>
          <w:color w:val="auto"/>
          <w:highlight w:val="none"/>
          <w:lang w:val="en-US" w:eastAsia="zh-CN"/>
        </w:rPr>
        <w:t>）“监测点位置选择的选择”章节，本次噪声监测点设置于厂界外1m、高度1.2m以上的位置，共布设4个监测点位。测量</w:t>
      </w:r>
      <w:r>
        <w:rPr>
          <w:rFonts w:hint="default" w:ascii="Times New Roman" w:hAnsi="Times New Roman" w:cs="Times New Roman"/>
          <w:color w:val="auto"/>
          <w:highlight w:val="none"/>
        </w:rPr>
        <w:t>应在</w:t>
      </w:r>
      <w:r>
        <w:rPr>
          <w:rFonts w:hint="default" w:ascii="Times New Roman" w:hAnsi="Times New Roman" w:cs="Times New Roman"/>
          <w:color w:val="auto"/>
          <w:highlight w:val="none"/>
          <w:lang w:val="en-US" w:eastAsia="zh-CN"/>
        </w:rPr>
        <w:t>拆除活动</w:t>
      </w:r>
      <w:r>
        <w:rPr>
          <w:rFonts w:hint="default" w:ascii="Times New Roman" w:hAnsi="Times New Roman" w:cs="Times New Roman"/>
          <w:color w:val="auto"/>
          <w:highlight w:val="none"/>
        </w:rPr>
        <w:t>正常</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rPr>
        <w:t>时间内进行</w:t>
      </w:r>
      <w:r>
        <w:rPr>
          <w:rFonts w:hint="default" w:ascii="Times New Roman" w:hAnsi="Times New Roman" w:cs="Times New Roman"/>
          <w:color w:val="auto"/>
          <w:highlight w:val="none"/>
          <w:lang w:val="en-US" w:eastAsia="zh-CN"/>
        </w:rPr>
        <w:t>测量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分为昼、夜间两部分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且</w:t>
      </w:r>
      <w:r>
        <w:rPr>
          <w:rFonts w:hint="default" w:ascii="Times New Roman" w:hAnsi="Times New Roman" w:cs="Times New Roman"/>
          <w:color w:val="auto"/>
          <w:highlight w:val="none"/>
        </w:rPr>
        <w:t>测量应在无雨、无雪的气候中进行，风力为5.5m/s以上时停止测量。</w:t>
      </w:r>
      <w:r>
        <w:rPr>
          <w:rFonts w:hint="default" w:ascii="Times New Roman" w:hAnsi="Times New Roman" w:cs="Times New Roman"/>
          <w:color w:val="auto"/>
          <w:highlight w:val="none"/>
          <w:lang w:val="en-US" w:eastAsia="zh-CN"/>
        </w:rPr>
        <w:t>噪声监测点位布设见图5.2-2。</w:t>
      </w:r>
      <w:r>
        <w:rPr>
          <w:rFonts w:hint="default" w:ascii="Times New Roman" w:hAnsi="Times New Roman" w:cs="Times New Roman"/>
          <w:color w:val="auto"/>
          <w:highlight w:val="none"/>
        </w:rPr>
        <w:t>噪声监测计划见表5</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-2。</w:t>
      </w:r>
    </w:p>
    <w:p w14:paraId="461A3DD0">
      <w:pPr>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5274310" cy="4489450"/>
            <wp:effectExtent l="9525" t="9525" r="12065" b="1587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8"/>
                    <a:stretch>
                      <a:fillRect/>
                    </a:stretch>
                  </pic:blipFill>
                  <pic:spPr>
                    <a:xfrm>
                      <a:off x="0" y="0"/>
                      <a:ext cx="5274310" cy="4489450"/>
                    </a:xfrm>
                    <a:prstGeom prst="rect">
                      <a:avLst/>
                    </a:prstGeom>
                    <a:noFill/>
                    <a:ln>
                      <a:solidFill>
                        <a:schemeClr val="tx1"/>
                      </a:solidFill>
                    </a:ln>
                  </pic:spPr>
                </pic:pic>
              </a:graphicData>
            </a:graphic>
          </wp:inline>
        </w:drawing>
      </w:r>
    </w:p>
    <w:p w14:paraId="005118FA">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图 5</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噪声</w:t>
      </w:r>
      <w:r>
        <w:rPr>
          <w:rFonts w:hint="default" w:ascii="Times New Roman" w:hAnsi="Times New Roman" w:eastAsia="宋体" w:cs="Times New Roman"/>
          <w:color w:val="auto"/>
          <w:sz w:val="21"/>
          <w:szCs w:val="21"/>
          <w:highlight w:val="none"/>
          <w:lang w:val="en-US" w:eastAsia="zh-CN"/>
        </w:rPr>
        <w:t>监测点位布设图</w:t>
      </w:r>
    </w:p>
    <w:p w14:paraId="05A962F2">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噪声环境监测计划</w:t>
      </w:r>
    </w:p>
    <w:tbl>
      <w:tblPr>
        <w:tblStyle w:val="30"/>
        <w:tblW w:w="60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2"/>
        <w:gridCol w:w="714"/>
        <w:gridCol w:w="2100"/>
        <w:gridCol w:w="3519"/>
        <w:gridCol w:w="1633"/>
        <w:gridCol w:w="1412"/>
      </w:tblGrid>
      <w:tr w14:paraId="31D5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882" w:type="dxa"/>
            <w:shd w:val="clear" w:color="auto" w:fill="auto"/>
            <w:vAlign w:val="center"/>
          </w:tcPr>
          <w:p w14:paraId="28BE655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1399E37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指标</w:t>
            </w:r>
          </w:p>
        </w:tc>
        <w:tc>
          <w:tcPr>
            <w:tcW w:w="714" w:type="dxa"/>
            <w:shd w:val="clear" w:color="auto" w:fill="auto"/>
            <w:vAlign w:val="center"/>
          </w:tcPr>
          <w:p w14:paraId="1FC025D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工程阶段</w:t>
            </w:r>
          </w:p>
        </w:tc>
        <w:tc>
          <w:tcPr>
            <w:tcW w:w="2100" w:type="dxa"/>
            <w:shd w:val="clear" w:color="auto" w:fill="auto"/>
            <w:vAlign w:val="center"/>
          </w:tcPr>
          <w:p w14:paraId="185E81B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3519" w:type="dxa"/>
            <w:shd w:val="clear" w:color="auto" w:fill="auto"/>
            <w:vAlign w:val="center"/>
          </w:tcPr>
          <w:p w14:paraId="291C4515">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监测标准方法</w:t>
            </w:r>
          </w:p>
        </w:tc>
        <w:tc>
          <w:tcPr>
            <w:tcW w:w="1633" w:type="dxa"/>
            <w:shd w:val="clear" w:color="auto" w:fill="auto"/>
            <w:vAlign w:val="center"/>
          </w:tcPr>
          <w:p w14:paraId="65F0EF06">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等效声级</w:t>
            </w:r>
          </w:p>
          <w:p w14:paraId="11A684FF">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Leq（dB（A））</w:t>
            </w:r>
          </w:p>
        </w:tc>
        <w:tc>
          <w:tcPr>
            <w:tcW w:w="1412" w:type="dxa"/>
            <w:shd w:val="clear" w:color="auto" w:fill="auto"/>
            <w:vAlign w:val="center"/>
          </w:tcPr>
          <w:p w14:paraId="1DB8E46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监测次数</w:t>
            </w:r>
          </w:p>
        </w:tc>
      </w:tr>
      <w:tr w14:paraId="251A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shd w:val="clear" w:color="auto" w:fill="auto"/>
            <w:vAlign w:val="center"/>
          </w:tcPr>
          <w:p w14:paraId="12DF843E">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噪声</w:t>
            </w:r>
          </w:p>
        </w:tc>
        <w:tc>
          <w:tcPr>
            <w:tcW w:w="714" w:type="dxa"/>
            <w:shd w:val="clear" w:color="auto" w:fill="auto"/>
            <w:vAlign w:val="center"/>
          </w:tcPr>
          <w:p w14:paraId="4A9E252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转移/</w:t>
            </w:r>
            <w:r>
              <w:rPr>
                <w:rFonts w:hint="default" w:ascii="Times New Roman" w:hAnsi="Times New Roman" w:cs="Times New Roman"/>
                <w:color w:val="auto"/>
                <w:highlight w:val="none"/>
              </w:rPr>
              <w:t>拆除</w:t>
            </w:r>
          </w:p>
        </w:tc>
        <w:tc>
          <w:tcPr>
            <w:tcW w:w="2100" w:type="dxa"/>
            <w:shd w:val="clear" w:color="auto" w:fill="auto"/>
            <w:vAlign w:val="center"/>
          </w:tcPr>
          <w:p w14:paraId="093B64C0">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厂界外1m</w:t>
            </w:r>
          </w:p>
        </w:tc>
        <w:tc>
          <w:tcPr>
            <w:tcW w:w="3519" w:type="dxa"/>
            <w:shd w:val="clear" w:color="auto" w:fill="auto"/>
            <w:vAlign w:val="center"/>
          </w:tcPr>
          <w:p w14:paraId="49E2F2A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《工业企业厂界噪声标准测量方法》GB12349－90</w:t>
            </w:r>
          </w:p>
        </w:tc>
        <w:tc>
          <w:tcPr>
            <w:tcW w:w="1633" w:type="dxa"/>
            <w:shd w:val="clear" w:color="auto" w:fill="auto"/>
            <w:vAlign w:val="center"/>
          </w:tcPr>
          <w:p w14:paraId="6C361B8F">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65（昼间）</w:t>
            </w:r>
          </w:p>
          <w:p w14:paraId="0CD24AA3">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55（夜间）</w:t>
            </w:r>
          </w:p>
        </w:tc>
        <w:tc>
          <w:tcPr>
            <w:tcW w:w="1412" w:type="dxa"/>
            <w:shd w:val="clear" w:color="auto" w:fill="auto"/>
            <w:vAlign w:val="center"/>
          </w:tcPr>
          <w:p w14:paraId="0F8A2F9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2次/</w:t>
            </w:r>
            <w:r>
              <w:rPr>
                <w:rFonts w:hint="default" w:ascii="Times New Roman" w:hAnsi="Times New Roman" w:cs="Times New Roman"/>
                <w:color w:val="auto"/>
                <w:highlight w:val="none"/>
                <w:lang w:val="en-US" w:eastAsia="zh-CN"/>
              </w:rPr>
              <w:t>物料转移期间、拆除</w:t>
            </w:r>
            <w:r>
              <w:rPr>
                <w:rFonts w:hint="default" w:ascii="Times New Roman" w:hAnsi="Times New Roman" w:cs="Times New Roman"/>
                <w:color w:val="auto"/>
                <w:highlight w:val="none"/>
              </w:rPr>
              <w:t>期间</w:t>
            </w:r>
          </w:p>
        </w:tc>
      </w:tr>
      <w:tr w14:paraId="381A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60" w:type="dxa"/>
            <w:gridSpan w:val="6"/>
            <w:shd w:val="clear" w:color="auto" w:fill="auto"/>
            <w:vAlign w:val="center"/>
          </w:tcPr>
          <w:p w14:paraId="3907B487">
            <w:pPr>
              <w:pStyle w:val="45"/>
              <w:bidi w:val="0"/>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注：噪声监测指标执行标准为《工厂企业厂界噪声标准》（</w:t>
            </w:r>
            <w:r>
              <w:rPr>
                <w:rFonts w:hint="default" w:ascii="Times New Roman" w:hAnsi="Times New Roman" w:cs="Times New Roman"/>
                <w:color w:val="auto"/>
                <w:highlight w:val="none"/>
              </w:rPr>
              <w:t>GB12348-2019</w:t>
            </w:r>
            <w:r>
              <w:rPr>
                <w:rFonts w:hint="default" w:ascii="Times New Roman" w:hAnsi="Times New Roman" w:cs="Times New Roman"/>
                <w:color w:val="auto"/>
                <w:highlight w:val="none"/>
                <w:lang w:val="en-US" w:eastAsia="zh-CN"/>
              </w:rPr>
              <w:t>），参考噪声标准值为Ⅲ级。</w:t>
            </w:r>
          </w:p>
        </w:tc>
      </w:tr>
    </w:tbl>
    <w:p w14:paraId="24821BDD">
      <w:pPr>
        <w:pStyle w:val="4"/>
        <w:rPr>
          <w:rFonts w:hint="default" w:ascii="Times New Roman" w:hAnsi="Times New Roman" w:cs="Times New Roman"/>
          <w:color w:val="auto"/>
          <w:highlight w:val="none"/>
        </w:rPr>
      </w:pPr>
      <w:bookmarkStart w:id="205" w:name="_Toc14225"/>
      <w:r>
        <w:rPr>
          <w:rFonts w:hint="default" w:ascii="Times New Roman" w:hAnsi="Times New Roman" w:cs="Times New Roman"/>
          <w:color w:val="auto"/>
          <w:highlight w:val="none"/>
          <w:lang w:val="en-US" w:eastAsia="zh-CN"/>
        </w:rPr>
        <w:t xml:space="preserve">5.2.3 </w:t>
      </w:r>
      <w:r>
        <w:rPr>
          <w:rFonts w:hint="default" w:ascii="Times New Roman" w:hAnsi="Times New Roman" w:cs="Times New Roman"/>
          <w:color w:val="auto"/>
          <w:highlight w:val="none"/>
        </w:rPr>
        <w:t>废水监测</w:t>
      </w:r>
      <w:bookmarkEnd w:id="202"/>
      <w:bookmarkEnd w:id="203"/>
      <w:bookmarkEnd w:id="204"/>
      <w:bookmarkEnd w:id="205"/>
    </w:p>
    <w:p w14:paraId="4C0062D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在HCFC-141b生产线拆除项目实施过程中的设备、储罐等的清洗废水集中收集后由</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厂区内现有污水处理站进行处置，项目业主</w:t>
      </w:r>
      <w:r>
        <w:rPr>
          <w:rFonts w:hint="default" w:ascii="Times New Roman" w:hAnsi="Times New Roman" w:cs="Times New Roman"/>
          <w:color w:val="auto"/>
          <w:highlight w:val="none"/>
          <w:lang w:val="en-US" w:eastAsia="zh-CN"/>
        </w:rPr>
        <w:t>在拆除前及拆除期间</w:t>
      </w:r>
      <w:r>
        <w:rPr>
          <w:rFonts w:hint="default" w:ascii="Times New Roman" w:hAnsi="Times New Roman" w:cs="Times New Roman"/>
          <w:color w:val="auto"/>
          <w:highlight w:val="none"/>
        </w:rPr>
        <w:t>自行进行出水监测，</w:t>
      </w:r>
      <w:r>
        <w:rPr>
          <w:rFonts w:hint="default" w:ascii="Times New Roman" w:hAnsi="Times New Roman" w:cs="Times New Roman"/>
          <w:color w:val="auto"/>
          <w:highlight w:val="none"/>
          <w:lang w:val="en-US" w:eastAsia="zh-CN"/>
        </w:rPr>
        <w:t>根据《污水监测技术规范》（HJ 91.1-2019），废水监测位置位于废水排放口处，采样时在物料转移及拆除过程中分别监测1次，共计两次。</w:t>
      </w:r>
    </w:p>
    <w:p w14:paraId="68F0D48A">
      <w:pPr>
        <w:bidi w:val="0"/>
        <w:rPr>
          <w:rFonts w:hint="default" w:ascii="Times New Roman" w:hAnsi="Times New Roman" w:cs="Times New Roman"/>
          <w:color w:val="auto"/>
          <w:highlight w:val="none"/>
          <w:lang w:val="en-US" w:eastAsia="zh-CN"/>
        </w:rPr>
      </w:pPr>
    </w:p>
    <w:p w14:paraId="0625BDC2">
      <w:pPr>
        <w:bidi w:val="0"/>
        <w:rPr>
          <w:rFonts w:hint="default" w:ascii="Times New Roman" w:hAnsi="Times New Roman" w:cs="Times New Roman"/>
          <w:color w:val="auto"/>
          <w:highlight w:val="none"/>
          <w:lang w:val="en-US" w:eastAsia="zh-CN"/>
        </w:rPr>
      </w:pPr>
    </w:p>
    <w:p w14:paraId="5F020C7A">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 废水</w:t>
      </w:r>
      <w:r>
        <w:rPr>
          <w:rFonts w:hint="default" w:ascii="Times New Roman" w:hAnsi="Times New Roman" w:cs="Times New Roman"/>
          <w:color w:val="auto"/>
          <w:highlight w:val="none"/>
        </w:rPr>
        <w:t>环境监测计划</w:t>
      </w:r>
    </w:p>
    <w:tbl>
      <w:tblPr>
        <w:tblStyle w:val="30"/>
        <w:tblW w:w="63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9"/>
        <w:gridCol w:w="1159"/>
        <w:gridCol w:w="1332"/>
        <w:gridCol w:w="3147"/>
        <w:gridCol w:w="1835"/>
        <w:gridCol w:w="1543"/>
        <w:gridCol w:w="749"/>
      </w:tblGrid>
      <w:tr w14:paraId="45C0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1089" w:type="dxa"/>
            <w:shd w:val="clear" w:color="auto" w:fill="auto"/>
            <w:vAlign w:val="center"/>
          </w:tcPr>
          <w:p w14:paraId="0F755BDC">
            <w:pPr>
              <w:pStyle w:val="45"/>
              <w:bidi w:val="0"/>
              <w:rPr>
                <w:rFonts w:hint="default"/>
                <w:color w:val="auto"/>
              </w:rPr>
            </w:pPr>
            <w:r>
              <w:rPr>
                <w:rFonts w:hint="default"/>
                <w:color w:val="auto"/>
              </w:rPr>
              <w:t>监测指标</w:t>
            </w:r>
          </w:p>
        </w:tc>
        <w:tc>
          <w:tcPr>
            <w:tcW w:w="1159" w:type="dxa"/>
            <w:shd w:val="clear" w:color="auto" w:fill="auto"/>
            <w:vAlign w:val="center"/>
          </w:tcPr>
          <w:p w14:paraId="6D3B2668">
            <w:pPr>
              <w:pStyle w:val="45"/>
              <w:bidi w:val="0"/>
              <w:rPr>
                <w:rFonts w:hint="default"/>
                <w:color w:val="auto"/>
              </w:rPr>
            </w:pPr>
            <w:r>
              <w:rPr>
                <w:rFonts w:hint="default"/>
                <w:color w:val="auto"/>
              </w:rPr>
              <w:t>工程阶段</w:t>
            </w:r>
          </w:p>
        </w:tc>
        <w:tc>
          <w:tcPr>
            <w:tcW w:w="1332" w:type="dxa"/>
            <w:shd w:val="clear" w:color="auto" w:fill="auto"/>
            <w:vAlign w:val="center"/>
          </w:tcPr>
          <w:p w14:paraId="76771A7A">
            <w:pPr>
              <w:pStyle w:val="45"/>
              <w:bidi w:val="0"/>
              <w:rPr>
                <w:rFonts w:hint="default"/>
                <w:color w:val="auto"/>
              </w:rPr>
            </w:pPr>
            <w:r>
              <w:rPr>
                <w:rFonts w:hint="default"/>
                <w:color w:val="auto"/>
              </w:rPr>
              <w:t>监测点位</w:t>
            </w:r>
          </w:p>
        </w:tc>
        <w:tc>
          <w:tcPr>
            <w:tcW w:w="3147" w:type="dxa"/>
            <w:shd w:val="clear" w:color="auto" w:fill="auto"/>
            <w:vAlign w:val="center"/>
          </w:tcPr>
          <w:p w14:paraId="4F6975E4">
            <w:pPr>
              <w:pStyle w:val="45"/>
              <w:bidi w:val="0"/>
              <w:rPr>
                <w:rFonts w:hint="default"/>
                <w:color w:val="auto"/>
                <w:lang w:val="en-US" w:eastAsia="zh-CN"/>
              </w:rPr>
            </w:pPr>
            <w:r>
              <w:rPr>
                <w:rFonts w:hint="default"/>
                <w:color w:val="auto"/>
                <w:lang w:val="en-US" w:eastAsia="zh-CN"/>
              </w:rPr>
              <w:t>监测标准方法</w:t>
            </w:r>
          </w:p>
        </w:tc>
        <w:tc>
          <w:tcPr>
            <w:tcW w:w="3378" w:type="dxa"/>
            <w:gridSpan w:val="2"/>
            <w:shd w:val="clear" w:color="auto" w:fill="auto"/>
            <w:vAlign w:val="center"/>
          </w:tcPr>
          <w:p w14:paraId="7F689411">
            <w:pPr>
              <w:pStyle w:val="45"/>
              <w:bidi w:val="0"/>
              <w:rPr>
                <w:rFonts w:hint="default"/>
                <w:color w:val="auto"/>
              </w:rPr>
            </w:pPr>
            <w:r>
              <w:rPr>
                <w:rFonts w:hint="eastAsia"/>
                <w:color w:val="auto"/>
                <w:lang w:val="en-US" w:eastAsia="zh-CN"/>
              </w:rPr>
              <w:t>执行标准</w:t>
            </w:r>
          </w:p>
        </w:tc>
        <w:tc>
          <w:tcPr>
            <w:tcW w:w="749" w:type="dxa"/>
            <w:shd w:val="clear" w:color="auto" w:fill="auto"/>
            <w:vAlign w:val="center"/>
          </w:tcPr>
          <w:p w14:paraId="52285976">
            <w:pPr>
              <w:pStyle w:val="45"/>
              <w:bidi w:val="0"/>
              <w:rPr>
                <w:rFonts w:hint="default"/>
                <w:color w:val="auto"/>
              </w:rPr>
            </w:pPr>
            <w:r>
              <w:rPr>
                <w:rFonts w:hint="default"/>
                <w:color w:val="auto"/>
              </w:rPr>
              <w:t>监测次数</w:t>
            </w:r>
          </w:p>
        </w:tc>
      </w:tr>
      <w:tr w14:paraId="5A85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shd w:val="clear" w:color="auto" w:fill="auto"/>
            <w:vAlign w:val="center"/>
          </w:tcPr>
          <w:p w14:paraId="6292CE26">
            <w:pPr>
              <w:pStyle w:val="45"/>
              <w:bidi w:val="0"/>
              <w:rPr>
                <w:rFonts w:hint="default"/>
                <w:color w:val="auto"/>
                <w:lang w:val="en-US" w:eastAsia="zh-CN"/>
              </w:rPr>
            </w:pPr>
            <w:r>
              <w:rPr>
                <w:rFonts w:hint="default"/>
                <w:color w:val="auto"/>
                <w:lang w:val="en-US" w:eastAsia="zh-CN"/>
              </w:rPr>
              <w:t>pH</w:t>
            </w:r>
          </w:p>
        </w:tc>
        <w:tc>
          <w:tcPr>
            <w:tcW w:w="1159" w:type="dxa"/>
            <w:shd w:val="clear" w:color="auto" w:fill="auto"/>
            <w:vAlign w:val="center"/>
          </w:tcPr>
          <w:p w14:paraId="4F5E11C1">
            <w:pPr>
              <w:pStyle w:val="45"/>
              <w:bidi w:val="0"/>
              <w:rPr>
                <w:rFonts w:hint="default"/>
                <w:color w:val="auto"/>
              </w:rPr>
            </w:pPr>
            <w:r>
              <w:rPr>
                <w:rFonts w:hint="default"/>
                <w:color w:val="auto"/>
                <w:lang w:val="en-US" w:eastAsia="zh-CN"/>
              </w:rPr>
              <w:t>转移/</w:t>
            </w:r>
            <w:r>
              <w:rPr>
                <w:rFonts w:hint="default"/>
                <w:color w:val="auto"/>
              </w:rPr>
              <w:t>拆除</w:t>
            </w:r>
          </w:p>
        </w:tc>
        <w:tc>
          <w:tcPr>
            <w:tcW w:w="1332" w:type="dxa"/>
            <w:vMerge w:val="restart"/>
            <w:shd w:val="clear" w:color="auto" w:fill="auto"/>
            <w:vAlign w:val="center"/>
          </w:tcPr>
          <w:p w14:paraId="38DCC04F">
            <w:pPr>
              <w:pStyle w:val="45"/>
              <w:bidi w:val="0"/>
              <w:rPr>
                <w:rFonts w:hint="default"/>
                <w:color w:val="auto"/>
                <w:lang w:val="en-US" w:eastAsia="zh-CN"/>
              </w:rPr>
            </w:pPr>
            <w:r>
              <w:rPr>
                <w:rFonts w:hint="default"/>
                <w:color w:val="auto"/>
                <w:lang w:val="en-US" w:eastAsia="zh-CN"/>
              </w:rPr>
              <w:t>废水排放口</w:t>
            </w:r>
          </w:p>
        </w:tc>
        <w:tc>
          <w:tcPr>
            <w:tcW w:w="3147" w:type="dxa"/>
            <w:shd w:val="clear" w:color="auto" w:fill="auto"/>
            <w:vAlign w:val="center"/>
          </w:tcPr>
          <w:p w14:paraId="7A879419">
            <w:pPr>
              <w:pStyle w:val="45"/>
              <w:bidi w:val="0"/>
              <w:rPr>
                <w:rFonts w:hint="default"/>
                <w:color w:val="auto"/>
              </w:rPr>
            </w:pPr>
            <w:r>
              <w:rPr>
                <w:rFonts w:hint="default"/>
                <w:color w:val="auto"/>
              </w:rPr>
              <w:t>水质pH值的测定 电极法 HJ1147-2020</w:t>
            </w:r>
          </w:p>
        </w:tc>
        <w:tc>
          <w:tcPr>
            <w:tcW w:w="1835" w:type="dxa"/>
            <w:vMerge w:val="restart"/>
            <w:shd w:val="clear" w:color="auto" w:fill="auto"/>
            <w:vAlign w:val="center"/>
          </w:tcPr>
          <w:p w14:paraId="07CFAE94">
            <w:pPr>
              <w:pStyle w:val="45"/>
              <w:bidi w:val="0"/>
              <w:rPr>
                <w:rFonts w:hint="default"/>
                <w:color w:val="auto"/>
                <w:lang w:val="en-US" w:eastAsia="zh-CN"/>
              </w:rPr>
            </w:pPr>
            <w:r>
              <w:rPr>
                <w:rFonts w:hint="default"/>
                <w:color w:val="auto"/>
                <w:lang w:val="en-US" w:eastAsia="zh-CN"/>
              </w:rPr>
              <w:t>常熟中法工业水处理有限公司污水接管标准</w:t>
            </w:r>
          </w:p>
        </w:tc>
        <w:tc>
          <w:tcPr>
            <w:tcW w:w="1543" w:type="dxa"/>
            <w:shd w:val="clear" w:color="auto" w:fill="auto"/>
            <w:vAlign w:val="center"/>
          </w:tcPr>
          <w:p w14:paraId="5F6375A3">
            <w:pPr>
              <w:pStyle w:val="45"/>
              <w:bidi w:val="0"/>
              <w:rPr>
                <w:rFonts w:hint="default" w:eastAsia="宋体"/>
                <w:color w:val="auto"/>
                <w:lang w:val="en-US" w:eastAsia="zh-CN"/>
              </w:rPr>
            </w:pPr>
            <w:r>
              <w:rPr>
                <w:rFonts w:hint="eastAsia"/>
                <w:color w:val="auto"/>
                <w:lang w:val="en-US" w:eastAsia="zh-CN"/>
              </w:rPr>
              <w:t>6~9</w:t>
            </w:r>
          </w:p>
        </w:tc>
        <w:tc>
          <w:tcPr>
            <w:tcW w:w="749" w:type="dxa"/>
            <w:vMerge w:val="restart"/>
            <w:shd w:val="clear" w:color="auto" w:fill="auto"/>
            <w:vAlign w:val="center"/>
          </w:tcPr>
          <w:p w14:paraId="6FA630B8">
            <w:pPr>
              <w:pStyle w:val="45"/>
              <w:bidi w:val="0"/>
              <w:rPr>
                <w:rFonts w:hint="default"/>
                <w:color w:val="auto"/>
              </w:rPr>
            </w:pPr>
            <w:r>
              <w:rPr>
                <w:rFonts w:hint="default"/>
                <w:color w:val="auto"/>
              </w:rPr>
              <w:t>2次/</w:t>
            </w:r>
            <w:r>
              <w:rPr>
                <w:rFonts w:hint="default"/>
                <w:color w:val="auto"/>
                <w:lang w:val="en-US" w:eastAsia="zh-CN"/>
              </w:rPr>
              <w:t>物料转移、拆除</w:t>
            </w:r>
            <w:r>
              <w:rPr>
                <w:rFonts w:hint="default"/>
                <w:color w:val="auto"/>
              </w:rPr>
              <w:t>期间</w:t>
            </w:r>
          </w:p>
        </w:tc>
      </w:tr>
      <w:tr w14:paraId="3C74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shd w:val="clear" w:color="auto" w:fill="auto"/>
            <w:vAlign w:val="center"/>
          </w:tcPr>
          <w:p w14:paraId="21025B8B">
            <w:pPr>
              <w:pStyle w:val="45"/>
              <w:bidi w:val="0"/>
              <w:rPr>
                <w:rFonts w:hint="default"/>
                <w:color w:val="auto"/>
                <w:lang w:val="en-US" w:eastAsia="zh-CN"/>
              </w:rPr>
            </w:pPr>
            <w:r>
              <w:rPr>
                <w:rFonts w:hint="eastAsia"/>
                <w:color w:val="auto"/>
              </w:rPr>
              <w:t>悬浮物</w:t>
            </w:r>
          </w:p>
        </w:tc>
        <w:tc>
          <w:tcPr>
            <w:tcW w:w="1159" w:type="dxa"/>
            <w:shd w:val="clear" w:color="auto" w:fill="auto"/>
            <w:vAlign w:val="center"/>
          </w:tcPr>
          <w:p w14:paraId="32B59BB0">
            <w:pPr>
              <w:pStyle w:val="45"/>
              <w:bidi w:val="0"/>
              <w:rPr>
                <w:rFonts w:hint="default"/>
                <w:color w:val="auto"/>
                <w:lang w:val="en-US" w:eastAsia="zh-CN"/>
              </w:rPr>
            </w:pPr>
            <w:r>
              <w:rPr>
                <w:rFonts w:hint="default"/>
                <w:color w:val="auto"/>
                <w:lang w:val="en-US" w:eastAsia="zh-CN"/>
              </w:rPr>
              <w:t>转移/拆除</w:t>
            </w:r>
          </w:p>
        </w:tc>
        <w:tc>
          <w:tcPr>
            <w:tcW w:w="1332" w:type="dxa"/>
            <w:vMerge w:val="continue"/>
            <w:shd w:val="clear" w:color="auto" w:fill="auto"/>
            <w:vAlign w:val="center"/>
          </w:tcPr>
          <w:p w14:paraId="2831683E">
            <w:pPr>
              <w:pStyle w:val="45"/>
              <w:bidi w:val="0"/>
              <w:rPr>
                <w:rFonts w:hint="default"/>
                <w:color w:val="auto"/>
                <w:lang w:val="en-US" w:eastAsia="zh-CN"/>
              </w:rPr>
            </w:pPr>
          </w:p>
        </w:tc>
        <w:tc>
          <w:tcPr>
            <w:tcW w:w="3147" w:type="dxa"/>
            <w:shd w:val="clear" w:color="auto" w:fill="auto"/>
            <w:vAlign w:val="center"/>
          </w:tcPr>
          <w:p w14:paraId="714FAFD4">
            <w:pPr>
              <w:pStyle w:val="45"/>
              <w:bidi w:val="0"/>
              <w:rPr>
                <w:rFonts w:hint="default"/>
                <w:color w:val="auto"/>
                <w:lang w:val="en-US" w:eastAsia="zh-CN"/>
              </w:rPr>
            </w:pPr>
            <w:r>
              <w:rPr>
                <w:rFonts w:hint="default"/>
                <w:color w:val="auto"/>
                <w:lang w:val="en-US" w:eastAsia="zh-CN"/>
              </w:rPr>
              <w:t>水质 悬浮物的测定重量法GB/T11901-1989</w:t>
            </w:r>
          </w:p>
        </w:tc>
        <w:tc>
          <w:tcPr>
            <w:tcW w:w="1835" w:type="dxa"/>
            <w:vMerge w:val="continue"/>
            <w:shd w:val="clear" w:color="auto" w:fill="auto"/>
            <w:vAlign w:val="center"/>
          </w:tcPr>
          <w:p w14:paraId="17915990">
            <w:pPr>
              <w:pStyle w:val="45"/>
              <w:bidi w:val="0"/>
              <w:rPr>
                <w:rFonts w:hint="default"/>
                <w:color w:val="auto"/>
                <w:lang w:val="en-US" w:eastAsia="zh-CN"/>
              </w:rPr>
            </w:pPr>
          </w:p>
        </w:tc>
        <w:tc>
          <w:tcPr>
            <w:tcW w:w="1543" w:type="dxa"/>
            <w:shd w:val="clear" w:color="auto" w:fill="auto"/>
            <w:vAlign w:val="center"/>
          </w:tcPr>
          <w:p w14:paraId="49D2FE11">
            <w:pPr>
              <w:pStyle w:val="45"/>
              <w:bidi w:val="0"/>
              <w:rPr>
                <w:rFonts w:hint="default" w:eastAsia="宋体"/>
                <w:color w:val="auto"/>
                <w:lang w:val="en-US" w:eastAsia="zh-CN"/>
              </w:rPr>
            </w:pPr>
            <w:r>
              <w:rPr>
                <w:rFonts w:hint="eastAsia"/>
                <w:color w:val="auto"/>
                <w:lang w:val="en-US" w:eastAsia="zh-CN"/>
              </w:rPr>
              <w:t>400mg/L</w:t>
            </w:r>
          </w:p>
        </w:tc>
        <w:tc>
          <w:tcPr>
            <w:tcW w:w="749" w:type="dxa"/>
            <w:vMerge w:val="continue"/>
            <w:shd w:val="clear" w:color="auto" w:fill="auto"/>
            <w:vAlign w:val="center"/>
          </w:tcPr>
          <w:p w14:paraId="32772D5E">
            <w:pPr>
              <w:pStyle w:val="45"/>
              <w:bidi w:val="0"/>
              <w:rPr>
                <w:rFonts w:hint="default"/>
                <w:color w:val="auto"/>
              </w:rPr>
            </w:pPr>
          </w:p>
        </w:tc>
      </w:tr>
      <w:tr w14:paraId="060B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shd w:val="clear" w:color="auto" w:fill="auto"/>
            <w:vAlign w:val="center"/>
          </w:tcPr>
          <w:p w14:paraId="65FB0F96">
            <w:pPr>
              <w:pStyle w:val="45"/>
              <w:bidi w:val="0"/>
              <w:rPr>
                <w:rFonts w:hint="default"/>
                <w:color w:val="auto"/>
                <w:lang w:val="en-US" w:eastAsia="zh-CN"/>
              </w:rPr>
            </w:pPr>
            <w:r>
              <w:rPr>
                <w:rFonts w:hint="eastAsia"/>
                <w:color w:val="auto"/>
              </w:rPr>
              <w:t>总氮</w:t>
            </w:r>
          </w:p>
        </w:tc>
        <w:tc>
          <w:tcPr>
            <w:tcW w:w="1159" w:type="dxa"/>
            <w:shd w:val="clear" w:color="auto" w:fill="auto"/>
            <w:vAlign w:val="center"/>
          </w:tcPr>
          <w:p w14:paraId="114669F1">
            <w:pPr>
              <w:pStyle w:val="45"/>
              <w:bidi w:val="0"/>
              <w:rPr>
                <w:rFonts w:hint="default"/>
                <w:color w:val="auto"/>
                <w:lang w:val="en-US" w:eastAsia="zh-CN"/>
              </w:rPr>
            </w:pPr>
            <w:r>
              <w:rPr>
                <w:rFonts w:hint="default"/>
                <w:color w:val="auto"/>
                <w:lang w:val="en-US" w:eastAsia="zh-CN"/>
              </w:rPr>
              <w:t>转移/拆除</w:t>
            </w:r>
          </w:p>
        </w:tc>
        <w:tc>
          <w:tcPr>
            <w:tcW w:w="1332" w:type="dxa"/>
            <w:vMerge w:val="continue"/>
            <w:shd w:val="clear" w:color="auto" w:fill="auto"/>
            <w:vAlign w:val="center"/>
          </w:tcPr>
          <w:p w14:paraId="5A38E742">
            <w:pPr>
              <w:pStyle w:val="45"/>
              <w:bidi w:val="0"/>
              <w:rPr>
                <w:rFonts w:hint="default"/>
                <w:color w:val="auto"/>
                <w:lang w:val="en-US" w:eastAsia="zh-CN"/>
              </w:rPr>
            </w:pPr>
          </w:p>
        </w:tc>
        <w:tc>
          <w:tcPr>
            <w:tcW w:w="3147" w:type="dxa"/>
            <w:shd w:val="clear" w:color="auto" w:fill="auto"/>
            <w:vAlign w:val="center"/>
          </w:tcPr>
          <w:p w14:paraId="411F7738">
            <w:pPr>
              <w:pStyle w:val="45"/>
              <w:bidi w:val="0"/>
              <w:rPr>
                <w:rFonts w:hint="default"/>
                <w:color w:val="auto"/>
                <w:lang w:val="en-US" w:eastAsia="zh-CN"/>
              </w:rPr>
            </w:pPr>
            <w:r>
              <w:rPr>
                <w:rFonts w:hint="default"/>
                <w:color w:val="auto"/>
                <w:lang w:val="en-US" w:eastAsia="zh-CN"/>
              </w:rPr>
              <w:t>水质硫化物的测定亚甲基蓝分光光度法HJ 1226-2021</w:t>
            </w:r>
          </w:p>
        </w:tc>
        <w:tc>
          <w:tcPr>
            <w:tcW w:w="1835" w:type="dxa"/>
            <w:vMerge w:val="continue"/>
            <w:shd w:val="clear" w:color="auto" w:fill="auto"/>
            <w:vAlign w:val="center"/>
          </w:tcPr>
          <w:p w14:paraId="53F16133">
            <w:pPr>
              <w:pStyle w:val="45"/>
              <w:bidi w:val="0"/>
              <w:rPr>
                <w:rFonts w:hint="default"/>
                <w:color w:val="auto"/>
                <w:lang w:val="en-US" w:eastAsia="zh-CN"/>
              </w:rPr>
            </w:pPr>
          </w:p>
        </w:tc>
        <w:tc>
          <w:tcPr>
            <w:tcW w:w="1543" w:type="dxa"/>
            <w:shd w:val="clear" w:color="auto" w:fill="auto"/>
            <w:vAlign w:val="center"/>
          </w:tcPr>
          <w:p w14:paraId="58A54B06">
            <w:pPr>
              <w:pStyle w:val="45"/>
              <w:bidi w:val="0"/>
              <w:rPr>
                <w:rFonts w:hint="default"/>
                <w:color w:val="auto"/>
              </w:rPr>
            </w:pPr>
            <w:r>
              <w:rPr>
                <w:rFonts w:hint="eastAsia"/>
                <w:color w:val="auto"/>
                <w:lang w:val="en-US" w:eastAsia="zh-CN"/>
              </w:rPr>
              <w:t>50mg/L</w:t>
            </w:r>
          </w:p>
        </w:tc>
        <w:tc>
          <w:tcPr>
            <w:tcW w:w="749" w:type="dxa"/>
            <w:vMerge w:val="continue"/>
            <w:shd w:val="clear" w:color="auto" w:fill="auto"/>
            <w:vAlign w:val="center"/>
          </w:tcPr>
          <w:p w14:paraId="54E2A588">
            <w:pPr>
              <w:pStyle w:val="45"/>
              <w:bidi w:val="0"/>
              <w:rPr>
                <w:rFonts w:hint="default"/>
                <w:color w:val="auto"/>
              </w:rPr>
            </w:pPr>
          </w:p>
        </w:tc>
      </w:tr>
      <w:tr w14:paraId="1FC2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shd w:val="clear" w:color="auto" w:fill="auto"/>
            <w:vAlign w:val="center"/>
          </w:tcPr>
          <w:p w14:paraId="323A5331">
            <w:pPr>
              <w:pStyle w:val="45"/>
              <w:bidi w:val="0"/>
              <w:rPr>
                <w:rFonts w:hint="default"/>
                <w:color w:val="auto"/>
                <w:lang w:val="en-US" w:eastAsia="zh-CN"/>
              </w:rPr>
            </w:pPr>
            <w:r>
              <w:rPr>
                <w:rFonts w:hint="eastAsia"/>
                <w:color w:val="auto"/>
              </w:rPr>
              <w:t>总磷</w:t>
            </w:r>
          </w:p>
        </w:tc>
        <w:tc>
          <w:tcPr>
            <w:tcW w:w="1159" w:type="dxa"/>
            <w:shd w:val="clear" w:color="auto" w:fill="auto"/>
            <w:vAlign w:val="center"/>
          </w:tcPr>
          <w:p w14:paraId="0ACF6870">
            <w:pPr>
              <w:pStyle w:val="45"/>
              <w:bidi w:val="0"/>
              <w:rPr>
                <w:rFonts w:hint="default"/>
                <w:color w:val="auto"/>
                <w:lang w:val="en-US" w:eastAsia="zh-CN"/>
              </w:rPr>
            </w:pPr>
            <w:r>
              <w:rPr>
                <w:rFonts w:hint="default"/>
                <w:color w:val="auto"/>
                <w:lang w:val="en-US" w:eastAsia="zh-CN"/>
              </w:rPr>
              <w:t>转移/拆除</w:t>
            </w:r>
          </w:p>
        </w:tc>
        <w:tc>
          <w:tcPr>
            <w:tcW w:w="1332" w:type="dxa"/>
            <w:vMerge w:val="continue"/>
            <w:shd w:val="clear" w:color="auto" w:fill="auto"/>
            <w:vAlign w:val="center"/>
          </w:tcPr>
          <w:p w14:paraId="09729160">
            <w:pPr>
              <w:pStyle w:val="45"/>
              <w:bidi w:val="0"/>
              <w:rPr>
                <w:rFonts w:hint="default"/>
                <w:color w:val="auto"/>
                <w:lang w:val="en-US" w:eastAsia="zh-CN"/>
              </w:rPr>
            </w:pPr>
          </w:p>
        </w:tc>
        <w:tc>
          <w:tcPr>
            <w:tcW w:w="3147" w:type="dxa"/>
            <w:shd w:val="clear" w:color="auto" w:fill="auto"/>
            <w:vAlign w:val="center"/>
          </w:tcPr>
          <w:p w14:paraId="417D4065">
            <w:pPr>
              <w:pStyle w:val="45"/>
              <w:bidi w:val="0"/>
              <w:rPr>
                <w:rFonts w:hint="default"/>
                <w:color w:val="auto"/>
                <w:lang w:val="en-US" w:eastAsia="zh-CN"/>
              </w:rPr>
            </w:pPr>
            <w:r>
              <w:rPr>
                <w:rFonts w:hint="default"/>
                <w:color w:val="auto"/>
                <w:lang w:val="en-US" w:eastAsia="zh-CN"/>
              </w:rPr>
              <w:t>水质 石油类和动植物油类的测定红外分光光度HJ637-2018</w:t>
            </w:r>
          </w:p>
        </w:tc>
        <w:tc>
          <w:tcPr>
            <w:tcW w:w="1835" w:type="dxa"/>
            <w:vMerge w:val="continue"/>
            <w:shd w:val="clear" w:color="auto" w:fill="auto"/>
            <w:vAlign w:val="center"/>
          </w:tcPr>
          <w:p w14:paraId="322E1ADE">
            <w:pPr>
              <w:pStyle w:val="45"/>
              <w:bidi w:val="0"/>
              <w:rPr>
                <w:rFonts w:hint="default"/>
                <w:color w:val="auto"/>
                <w:lang w:val="en-US" w:eastAsia="zh-CN"/>
              </w:rPr>
            </w:pPr>
          </w:p>
        </w:tc>
        <w:tc>
          <w:tcPr>
            <w:tcW w:w="1543" w:type="dxa"/>
            <w:shd w:val="clear" w:color="auto" w:fill="auto"/>
            <w:vAlign w:val="center"/>
          </w:tcPr>
          <w:p w14:paraId="46987D50">
            <w:pPr>
              <w:pStyle w:val="45"/>
              <w:bidi w:val="0"/>
              <w:rPr>
                <w:rFonts w:hint="default"/>
                <w:color w:val="auto"/>
              </w:rPr>
            </w:pPr>
            <w:r>
              <w:rPr>
                <w:rFonts w:hint="eastAsia"/>
                <w:color w:val="auto"/>
                <w:lang w:val="en-US" w:eastAsia="zh-CN"/>
              </w:rPr>
              <w:t>4mg/L</w:t>
            </w:r>
          </w:p>
        </w:tc>
        <w:tc>
          <w:tcPr>
            <w:tcW w:w="749" w:type="dxa"/>
            <w:vMerge w:val="continue"/>
            <w:shd w:val="clear" w:color="auto" w:fill="auto"/>
            <w:vAlign w:val="center"/>
          </w:tcPr>
          <w:p w14:paraId="55DBF37A">
            <w:pPr>
              <w:pStyle w:val="45"/>
              <w:bidi w:val="0"/>
              <w:rPr>
                <w:rFonts w:hint="default"/>
                <w:color w:val="auto"/>
              </w:rPr>
            </w:pPr>
          </w:p>
        </w:tc>
      </w:tr>
      <w:tr w14:paraId="6A78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shd w:val="clear" w:color="auto" w:fill="auto"/>
            <w:vAlign w:val="center"/>
          </w:tcPr>
          <w:p w14:paraId="4F10F554">
            <w:pPr>
              <w:pStyle w:val="45"/>
              <w:bidi w:val="0"/>
              <w:rPr>
                <w:rFonts w:hint="eastAsia" w:eastAsia="宋体"/>
                <w:color w:val="auto"/>
                <w:lang w:val="en-US" w:eastAsia="zh-CN"/>
              </w:rPr>
            </w:pPr>
            <w:r>
              <w:rPr>
                <w:rFonts w:hint="eastAsia"/>
                <w:color w:val="auto"/>
                <w:lang w:val="en-US" w:eastAsia="zh-CN"/>
              </w:rPr>
              <w:t>氨氮</w:t>
            </w:r>
          </w:p>
        </w:tc>
        <w:tc>
          <w:tcPr>
            <w:tcW w:w="1159" w:type="dxa"/>
            <w:shd w:val="clear" w:color="auto" w:fill="auto"/>
            <w:vAlign w:val="center"/>
          </w:tcPr>
          <w:p w14:paraId="04F72442">
            <w:pPr>
              <w:pStyle w:val="45"/>
              <w:bidi w:val="0"/>
              <w:ind w:firstLine="0" w:firstLineChars="0"/>
              <w:rPr>
                <w:rFonts w:hint="default" w:ascii="Times New Roman" w:hAnsi="Times New Roman" w:eastAsia="宋体" w:cstheme="minorBidi"/>
                <w:color w:val="auto"/>
                <w:kern w:val="2"/>
                <w:sz w:val="21"/>
                <w:szCs w:val="22"/>
                <w:lang w:val="en-US" w:eastAsia="zh-CN" w:bidi="ar-SA"/>
              </w:rPr>
            </w:pPr>
            <w:r>
              <w:rPr>
                <w:rFonts w:hint="default"/>
                <w:color w:val="auto"/>
                <w:lang w:val="en-US" w:eastAsia="zh-CN"/>
              </w:rPr>
              <w:t>转移/拆除</w:t>
            </w:r>
          </w:p>
        </w:tc>
        <w:tc>
          <w:tcPr>
            <w:tcW w:w="1332" w:type="dxa"/>
            <w:vMerge w:val="continue"/>
            <w:shd w:val="clear" w:color="auto" w:fill="auto"/>
            <w:vAlign w:val="center"/>
          </w:tcPr>
          <w:p w14:paraId="27171543">
            <w:pPr>
              <w:pStyle w:val="45"/>
              <w:bidi w:val="0"/>
              <w:rPr>
                <w:rFonts w:hint="default"/>
                <w:color w:val="auto"/>
                <w:lang w:val="en-US" w:eastAsia="zh-CN"/>
              </w:rPr>
            </w:pPr>
          </w:p>
        </w:tc>
        <w:tc>
          <w:tcPr>
            <w:tcW w:w="3147" w:type="dxa"/>
            <w:shd w:val="clear" w:color="auto" w:fill="auto"/>
            <w:vAlign w:val="center"/>
          </w:tcPr>
          <w:p w14:paraId="453A024F">
            <w:pPr>
              <w:pStyle w:val="45"/>
              <w:bidi w:val="0"/>
              <w:rPr>
                <w:rFonts w:hint="default"/>
                <w:color w:val="auto"/>
                <w:lang w:val="en-US" w:eastAsia="zh-CN"/>
              </w:rPr>
            </w:pPr>
            <w:r>
              <w:rPr>
                <w:rFonts w:hint="default"/>
                <w:color w:val="auto"/>
                <w:lang w:val="en-US" w:eastAsia="zh-CN"/>
              </w:rPr>
              <w:t>水质 氨氮的测定 纳氏试剂分光光度法HJS35-2009</w:t>
            </w:r>
          </w:p>
        </w:tc>
        <w:tc>
          <w:tcPr>
            <w:tcW w:w="1835" w:type="dxa"/>
            <w:vMerge w:val="continue"/>
            <w:shd w:val="clear" w:color="auto" w:fill="auto"/>
            <w:vAlign w:val="center"/>
          </w:tcPr>
          <w:p w14:paraId="6A1FD019">
            <w:pPr>
              <w:pStyle w:val="45"/>
              <w:bidi w:val="0"/>
              <w:rPr>
                <w:rFonts w:hint="default"/>
                <w:color w:val="auto"/>
                <w:lang w:val="en-US" w:eastAsia="zh-CN"/>
              </w:rPr>
            </w:pPr>
          </w:p>
        </w:tc>
        <w:tc>
          <w:tcPr>
            <w:tcW w:w="1543" w:type="dxa"/>
            <w:shd w:val="clear" w:color="auto" w:fill="auto"/>
            <w:vAlign w:val="center"/>
          </w:tcPr>
          <w:p w14:paraId="3CE11F81">
            <w:pPr>
              <w:pStyle w:val="45"/>
              <w:bidi w:val="0"/>
              <w:rPr>
                <w:rFonts w:hint="eastAsia"/>
                <w:color w:val="auto"/>
                <w:lang w:val="en-US" w:eastAsia="zh-CN"/>
              </w:rPr>
            </w:pPr>
            <w:r>
              <w:rPr>
                <w:rFonts w:hint="eastAsia"/>
                <w:color w:val="auto"/>
                <w:lang w:val="en-US" w:eastAsia="zh-CN"/>
              </w:rPr>
              <w:t>30mg/L</w:t>
            </w:r>
          </w:p>
        </w:tc>
        <w:tc>
          <w:tcPr>
            <w:tcW w:w="749" w:type="dxa"/>
            <w:vMerge w:val="continue"/>
            <w:shd w:val="clear" w:color="auto" w:fill="auto"/>
            <w:vAlign w:val="center"/>
          </w:tcPr>
          <w:p w14:paraId="4D4C1217">
            <w:pPr>
              <w:pStyle w:val="45"/>
              <w:bidi w:val="0"/>
              <w:rPr>
                <w:rFonts w:hint="default"/>
                <w:color w:val="auto"/>
              </w:rPr>
            </w:pPr>
          </w:p>
        </w:tc>
      </w:tr>
      <w:tr w14:paraId="2C0C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shd w:val="clear" w:color="auto" w:fill="auto"/>
            <w:vAlign w:val="center"/>
          </w:tcPr>
          <w:p w14:paraId="2AE0B468">
            <w:pPr>
              <w:pStyle w:val="45"/>
              <w:bidi w:val="0"/>
              <w:rPr>
                <w:rFonts w:hint="default"/>
                <w:color w:val="auto"/>
                <w:lang w:val="en-US" w:eastAsia="zh-CN"/>
              </w:rPr>
            </w:pPr>
            <w:r>
              <w:rPr>
                <w:rFonts w:hint="eastAsia"/>
                <w:color w:val="auto"/>
              </w:rPr>
              <w:t>硫化物</w:t>
            </w:r>
          </w:p>
        </w:tc>
        <w:tc>
          <w:tcPr>
            <w:tcW w:w="1159" w:type="dxa"/>
            <w:shd w:val="clear" w:color="auto" w:fill="auto"/>
            <w:vAlign w:val="center"/>
          </w:tcPr>
          <w:p w14:paraId="0C07F2EF">
            <w:pPr>
              <w:pStyle w:val="45"/>
              <w:bidi w:val="0"/>
              <w:rPr>
                <w:rFonts w:hint="default"/>
                <w:color w:val="auto"/>
                <w:lang w:val="en-US" w:eastAsia="zh-CN"/>
              </w:rPr>
            </w:pPr>
            <w:r>
              <w:rPr>
                <w:rFonts w:hint="default"/>
                <w:color w:val="auto"/>
                <w:lang w:val="en-US" w:eastAsia="zh-CN"/>
              </w:rPr>
              <w:t>转移/拆除</w:t>
            </w:r>
          </w:p>
        </w:tc>
        <w:tc>
          <w:tcPr>
            <w:tcW w:w="1332" w:type="dxa"/>
            <w:vMerge w:val="continue"/>
            <w:shd w:val="clear" w:color="auto" w:fill="auto"/>
            <w:vAlign w:val="center"/>
          </w:tcPr>
          <w:p w14:paraId="15B53D63">
            <w:pPr>
              <w:pStyle w:val="45"/>
              <w:bidi w:val="0"/>
              <w:rPr>
                <w:rFonts w:hint="default"/>
                <w:color w:val="auto"/>
                <w:lang w:val="en-US" w:eastAsia="zh-CN"/>
              </w:rPr>
            </w:pPr>
          </w:p>
        </w:tc>
        <w:tc>
          <w:tcPr>
            <w:tcW w:w="3147" w:type="dxa"/>
            <w:shd w:val="clear" w:color="auto" w:fill="auto"/>
            <w:vAlign w:val="center"/>
          </w:tcPr>
          <w:p w14:paraId="7B5D831E">
            <w:pPr>
              <w:pStyle w:val="45"/>
              <w:bidi w:val="0"/>
              <w:rPr>
                <w:rFonts w:hint="default"/>
                <w:color w:val="auto"/>
                <w:lang w:val="en-US" w:eastAsia="zh-CN"/>
              </w:rPr>
            </w:pPr>
            <w:r>
              <w:rPr>
                <w:rFonts w:hint="default"/>
                <w:color w:val="auto"/>
                <w:lang w:val="en-US" w:eastAsia="zh-CN"/>
              </w:rPr>
              <w:t>水质 总氮的测定 碱性过硫酸钾消解紫外分光光度法HJ 636-2012</w:t>
            </w:r>
          </w:p>
        </w:tc>
        <w:tc>
          <w:tcPr>
            <w:tcW w:w="1835" w:type="dxa"/>
            <w:vMerge w:val="restart"/>
            <w:shd w:val="clear" w:color="auto" w:fill="auto"/>
            <w:vAlign w:val="center"/>
          </w:tcPr>
          <w:p w14:paraId="55B3781B">
            <w:pPr>
              <w:pStyle w:val="45"/>
              <w:bidi w:val="0"/>
              <w:rPr>
                <w:rFonts w:hint="default"/>
                <w:color w:val="auto"/>
                <w:lang w:val="en-US" w:eastAsia="zh-CN"/>
              </w:rPr>
            </w:pPr>
            <w:r>
              <w:rPr>
                <w:rFonts w:hint="default"/>
                <w:color w:val="auto"/>
                <w:lang w:val="en-US" w:eastAsia="zh-CN"/>
              </w:rPr>
              <w:t>《石油化学工业污染物排放标准》(GB</w:t>
            </w:r>
            <w:r>
              <w:rPr>
                <w:rFonts w:hint="eastAsia"/>
                <w:color w:val="auto"/>
                <w:lang w:val="en-US" w:eastAsia="zh-CN"/>
              </w:rPr>
              <w:t xml:space="preserve"> </w:t>
            </w:r>
            <w:r>
              <w:rPr>
                <w:rFonts w:hint="default"/>
                <w:color w:val="auto"/>
                <w:lang w:val="en-US" w:eastAsia="zh-CN"/>
              </w:rPr>
              <w:t>31571-2015)</w:t>
            </w:r>
          </w:p>
        </w:tc>
        <w:tc>
          <w:tcPr>
            <w:tcW w:w="1543" w:type="dxa"/>
            <w:shd w:val="clear" w:color="auto" w:fill="auto"/>
            <w:vAlign w:val="center"/>
          </w:tcPr>
          <w:p w14:paraId="4DEDE81F">
            <w:pPr>
              <w:pStyle w:val="45"/>
              <w:bidi w:val="0"/>
              <w:rPr>
                <w:rFonts w:hint="default"/>
                <w:color w:val="auto"/>
              </w:rPr>
            </w:pPr>
            <w:r>
              <w:rPr>
                <w:rFonts w:hint="eastAsia"/>
                <w:color w:val="auto"/>
                <w:lang w:val="en-US" w:eastAsia="zh-CN"/>
              </w:rPr>
              <w:t>1mg/L</w:t>
            </w:r>
          </w:p>
        </w:tc>
        <w:tc>
          <w:tcPr>
            <w:tcW w:w="749" w:type="dxa"/>
            <w:vMerge w:val="continue"/>
            <w:shd w:val="clear" w:color="auto" w:fill="auto"/>
            <w:vAlign w:val="center"/>
          </w:tcPr>
          <w:p w14:paraId="7898E633">
            <w:pPr>
              <w:pStyle w:val="45"/>
              <w:bidi w:val="0"/>
              <w:rPr>
                <w:rFonts w:hint="default"/>
                <w:color w:val="auto"/>
              </w:rPr>
            </w:pPr>
          </w:p>
        </w:tc>
      </w:tr>
      <w:tr w14:paraId="031C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shd w:val="clear" w:color="auto" w:fill="auto"/>
            <w:vAlign w:val="center"/>
          </w:tcPr>
          <w:p w14:paraId="7D576752">
            <w:pPr>
              <w:pStyle w:val="45"/>
              <w:bidi w:val="0"/>
              <w:rPr>
                <w:rFonts w:hint="default"/>
                <w:color w:val="auto"/>
                <w:lang w:val="en-US" w:eastAsia="zh-CN"/>
              </w:rPr>
            </w:pPr>
            <w:r>
              <w:rPr>
                <w:rFonts w:hint="eastAsia"/>
                <w:color w:val="auto"/>
              </w:rPr>
              <w:t>石油类</w:t>
            </w:r>
          </w:p>
        </w:tc>
        <w:tc>
          <w:tcPr>
            <w:tcW w:w="1159" w:type="dxa"/>
            <w:shd w:val="clear" w:color="auto" w:fill="auto"/>
            <w:vAlign w:val="center"/>
          </w:tcPr>
          <w:p w14:paraId="24DBE19E">
            <w:pPr>
              <w:pStyle w:val="45"/>
              <w:bidi w:val="0"/>
              <w:rPr>
                <w:rFonts w:hint="default"/>
                <w:color w:val="auto"/>
                <w:lang w:val="en-US" w:eastAsia="zh-CN"/>
              </w:rPr>
            </w:pPr>
            <w:r>
              <w:rPr>
                <w:rFonts w:hint="default"/>
                <w:color w:val="auto"/>
                <w:lang w:val="en-US" w:eastAsia="zh-CN"/>
              </w:rPr>
              <w:t>转移/拆除</w:t>
            </w:r>
          </w:p>
        </w:tc>
        <w:tc>
          <w:tcPr>
            <w:tcW w:w="1332" w:type="dxa"/>
            <w:vMerge w:val="continue"/>
            <w:shd w:val="clear" w:color="auto" w:fill="auto"/>
            <w:vAlign w:val="center"/>
          </w:tcPr>
          <w:p w14:paraId="1585E2C4">
            <w:pPr>
              <w:pStyle w:val="45"/>
              <w:bidi w:val="0"/>
              <w:rPr>
                <w:rFonts w:hint="default"/>
                <w:color w:val="auto"/>
                <w:lang w:val="en-US" w:eastAsia="zh-CN"/>
              </w:rPr>
            </w:pPr>
          </w:p>
        </w:tc>
        <w:tc>
          <w:tcPr>
            <w:tcW w:w="3147" w:type="dxa"/>
            <w:shd w:val="clear" w:color="auto" w:fill="auto"/>
            <w:vAlign w:val="center"/>
          </w:tcPr>
          <w:p w14:paraId="0C9F51EA">
            <w:pPr>
              <w:pStyle w:val="45"/>
              <w:bidi w:val="0"/>
              <w:rPr>
                <w:rFonts w:hint="default"/>
                <w:color w:val="auto"/>
                <w:lang w:val="en-US" w:eastAsia="zh-CN"/>
              </w:rPr>
            </w:pPr>
            <w:r>
              <w:rPr>
                <w:rFonts w:hint="default"/>
                <w:color w:val="auto"/>
                <w:lang w:val="en-US" w:eastAsia="zh-CN"/>
              </w:rPr>
              <w:t>水质 总磷的测定钼酸铵分光光度法GB/T11893-1989</w:t>
            </w:r>
          </w:p>
        </w:tc>
        <w:tc>
          <w:tcPr>
            <w:tcW w:w="1835" w:type="dxa"/>
            <w:vMerge w:val="continue"/>
            <w:shd w:val="clear" w:color="auto" w:fill="auto"/>
            <w:vAlign w:val="center"/>
          </w:tcPr>
          <w:p w14:paraId="516D2EEB">
            <w:pPr>
              <w:pStyle w:val="45"/>
              <w:bidi w:val="0"/>
              <w:rPr>
                <w:rFonts w:hint="default"/>
                <w:color w:val="auto"/>
                <w:lang w:val="en-US" w:eastAsia="zh-CN"/>
              </w:rPr>
            </w:pPr>
          </w:p>
        </w:tc>
        <w:tc>
          <w:tcPr>
            <w:tcW w:w="1543" w:type="dxa"/>
            <w:shd w:val="clear" w:color="auto" w:fill="auto"/>
            <w:vAlign w:val="center"/>
          </w:tcPr>
          <w:p w14:paraId="6111E7EC">
            <w:pPr>
              <w:pStyle w:val="45"/>
              <w:bidi w:val="0"/>
              <w:rPr>
                <w:rFonts w:hint="default"/>
                <w:color w:val="auto"/>
              </w:rPr>
            </w:pPr>
            <w:r>
              <w:rPr>
                <w:rFonts w:hint="eastAsia"/>
                <w:color w:val="auto"/>
                <w:lang w:val="en-US" w:eastAsia="zh-CN"/>
              </w:rPr>
              <w:t>15mg/L</w:t>
            </w:r>
          </w:p>
        </w:tc>
        <w:tc>
          <w:tcPr>
            <w:tcW w:w="749" w:type="dxa"/>
            <w:vMerge w:val="continue"/>
            <w:shd w:val="clear" w:color="auto" w:fill="auto"/>
            <w:vAlign w:val="center"/>
          </w:tcPr>
          <w:p w14:paraId="6B530EE5">
            <w:pPr>
              <w:pStyle w:val="45"/>
              <w:bidi w:val="0"/>
              <w:rPr>
                <w:rFonts w:hint="default"/>
                <w:color w:val="auto"/>
              </w:rPr>
            </w:pPr>
          </w:p>
        </w:tc>
      </w:tr>
    </w:tbl>
    <w:p w14:paraId="2C70EAC6">
      <w:pPr>
        <w:pStyle w:val="4"/>
        <w:rPr>
          <w:rFonts w:hint="default" w:ascii="Times New Roman" w:hAnsi="Times New Roman" w:cs="Times New Roman"/>
          <w:color w:val="auto"/>
          <w:highlight w:val="none"/>
        </w:rPr>
      </w:pPr>
      <w:bookmarkStart w:id="206" w:name="_Toc406099727"/>
      <w:bookmarkStart w:id="207" w:name="_Toc406099851"/>
      <w:bookmarkStart w:id="208" w:name="_Toc1641"/>
      <w:bookmarkStart w:id="209" w:name="_Toc406099575"/>
      <w:r>
        <w:rPr>
          <w:rFonts w:hint="default" w:ascii="Times New Roman" w:hAnsi="Times New Roman" w:cs="Times New Roman"/>
          <w:color w:val="auto"/>
          <w:highlight w:val="none"/>
          <w:lang w:val="en-US" w:eastAsia="zh-CN"/>
        </w:rPr>
        <w:t xml:space="preserve">5.2.4 </w:t>
      </w:r>
      <w:r>
        <w:rPr>
          <w:rFonts w:hint="default" w:ascii="Times New Roman" w:hAnsi="Times New Roman" w:cs="Times New Roman"/>
          <w:color w:val="auto"/>
          <w:highlight w:val="none"/>
        </w:rPr>
        <w:t>土壤和地下水监测</w:t>
      </w:r>
      <w:bookmarkEnd w:id="206"/>
      <w:bookmarkEnd w:id="207"/>
      <w:bookmarkEnd w:id="208"/>
      <w:bookmarkEnd w:id="209"/>
    </w:p>
    <w:p w14:paraId="54E4C84D">
      <w:pP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HCFC-141b生产线拆除项目开工前和结束后，</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应聘请有经验的环境咨询机构进行拆除生产线后的场地环境调查，监测场地的土壤、地下水等环境质量，编制场地环境调查报告</w:t>
      </w:r>
      <w:r>
        <w:rPr>
          <w:rFonts w:hint="default" w:ascii="Times New Roman" w:hAnsi="Times New Roman" w:cs="Times New Roman"/>
          <w:color w:val="auto"/>
          <w:highlight w:val="none"/>
          <w:lang w:eastAsia="zh-CN"/>
        </w:rPr>
        <w:t>。</w:t>
      </w:r>
    </w:p>
    <w:p w14:paraId="34414310">
      <w:p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如调查后发现本地块土壤和地下水超过相应标准，存在污染，则需开展</w:t>
      </w:r>
      <w:r>
        <w:rPr>
          <w:rFonts w:hint="default" w:ascii="Times New Roman" w:hAnsi="Times New Roman" w:cs="Times New Roman"/>
          <w:color w:val="auto"/>
          <w:highlight w:val="none"/>
        </w:rPr>
        <w:t>污染场地环境风险评估</w:t>
      </w:r>
      <w:r>
        <w:rPr>
          <w:rFonts w:hint="default" w:ascii="Times New Roman" w:hAnsi="Times New Roman" w:cs="Times New Roman"/>
          <w:color w:val="auto"/>
          <w:highlight w:val="none"/>
          <w:lang w:val="en-US" w:eastAsia="zh-CN"/>
        </w:rPr>
        <w:t>工作并编制</w:t>
      </w:r>
      <w:r>
        <w:rPr>
          <w:rFonts w:hint="default" w:ascii="Times New Roman" w:hAnsi="Times New Roman" w:cs="Times New Roman"/>
          <w:color w:val="auto"/>
          <w:highlight w:val="none"/>
        </w:rPr>
        <w:t>报告</w:t>
      </w:r>
      <w:r>
        <w:rPr>
          <w:rFonts w:hint="default" w:ascii="Times New Roman" w:hAnsi="Times New Roman" w:cs="Times New Roman"/>
          <w:color w:val="auto"/>
          <w:highlight w:val="none"/>
          <w:lang w:val="en-US" w:eastAsia="zh-CN"/>
        </w:rPr>
        <w:t>。根据调查和风险评估结果确定是否编制污染场地修复计划。决定是否需要开展</w:t>
      </w:r>
      <w:r>
        <w:rPr>
          <w:rFonts w:hint="default" w:ascii="Times New Roman" w:hAnsi="Times New Roman" w:cs="Times New Roman"/>
          <w:color w:val="auto"/>
          <w:highlight w:val="none"/>
        </w:rPr>
        <w:t>污染场地修复。</w:t>
      </w:r>
    </w:p>
    <w:p w14:paraId="59B708E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采样频次为生产线拆除前一次，生产线拆除后一次。</w:t>
      </w:r>
    </w:p>
    <w:p w14:paraId="438DFBA9">
      <w:pPr>
        <w:pStyle w:val="5"/>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5.2.4.1 点位布设</w:t>
      </w:r>
    </w:p>
    <w:p w14:paraId="3BE324C0">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点位布设原则</w:t>
      </w:r>
    </w:p>
    <w:p w14:paraId="5541BEEF">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2"/>
          <w:highlight w:val="none"/>
          <w:lang w:val="en-US" w:eastAsia="zh-CN" w:bidi="ar-SA"/>
        </w:rPr>
        <w:t>（1）</w:t>
      </w:r>
      <w:r>
        <w:rPr>
          <w:rFonts w:hint="default" w:ascii="Times New Roman" w:hAnsi="Times New Roman" w:eastAsia="宋体" w:cs="Times New Roman"/>
          <w:color w:val="auto"/>
          <w:highlight w:val="none"/>
          <w:lang w:val="en-US" w:eastAsia="zh-CN"/>
        </w:rPr>
        <w:t>根据前期污染识别，针对识别出的区域进行采样布点；</w:t>
      </w:r>
    </w:p>
    <w:p w14:paraId="7EEF6DB7">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2"/>
          <w:highlight w:val="none"/>
          <w:lang w:val="en-US" w:eastAsia="zh-CN" w:bidi="ar-SA"/>
        </w:rPr>
        <w:t>（2）</w:t>
      </w:r>
      <w:r>
        <w:rPr>
          <w:rFonts w:hint="default" w:ascii="Times New Roman" w:hAnsi="Times New Roman" w:eastAsia="宋体" w:cs="Times New Roman"/>
          <w:color w:val="auto"/>
          <w:highlight w:val="none"/>
          <w:lang w:val="en-US" w:eastAsia="zh-CN"/>
        </w:rPr>
        <w:t>监测点位的布设应遵循不造成安全隐患与二次污染的原则；</w:t>
      </w:r>
    </w:p>
    <w:p w14:paraId="165D4CDF">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点位应尽量接近重点单元内存在土壤污染隐患的重点场所或重点设施设备，重点场所或重点设施设备占地面积较大时，应尽量接近该场所或设施设备内最有可能受到污染物渗漏/流失/扬散等途径影响的隐患点。</w:t>
      </w:r>
    </w:p>
    <w:p w14:paraId="73568137">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2"/>
          <w:highlight w:val="none"/>
          <w:lang w:val="en-US" w:eastAsia="zh-CN" w:bidi="ar-SA"/>
        </w:rPr>
        <w:t>（4）</w:t>
      </w:r>
      <w:r>
        <w:rPr>
          <w:rFonts w:hint="default" w:ascii="Times New Roman" w:hAnsi="Times New Roman" w:eastAsia="宋体" w:cs="Times New Roman"/>
          <w:color w:val="auto"/>
          <w:highlight w:val="none"/>
          <w:lang w:val="en-US" w:eastAsia="zh-CN"/>
        </w:rPr>
        <w:t>若上述选定的布点位置现场不具备采样条件，应在污染物迁移的下游方向就近选择布点位置</w:t>
      </w:r>
      <w:r>
        <w:rPr>
          <w:rFonts w:hint="eastAsia" w:cs="Times New Roman"/>
          <w:color w:val="auto"/>
          <w:highlight w:val="none"/>
          <w:lang w:val="en-US" w:eastAsia="zh-CN"/>
        </w:rPr>
        <w:t>。</w:t>
      </w:r>
    </w:p>
    <w:p w14:paraId="3B54A4A5">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2"/>
          <w:sz w:val="24"/>
          <w:szCs w:val="22"/>
          <w:highlight w:val="none"/>
          <w:lang w:val="en-US" w:eastAsia="zh-CN" w:bidi="ar-SA"/>
        </w:rPr>
        <w:t>（5）</w:t>
      </w:r>
      <w:r>
        <w:rPr>
          <w:rFonts w:hint="default" w:ascii="Times New Roman" w:hAnsi="Times New Roman" w:eastAsia="宋体" w:cs="Times New Roman"/>
          <w:color w:val="auto"/>
          <w:highlight w:val="none"/>
          <w:lang w:val="en-US" w:eastAsia="zh-CN"/>
        </w:rPr>
        <w:t>根据资料，目标采样层无土壤可采或地下水埋藏条件不适宜采样的区域，可不进行相应监测，但应在报告中提供相关资料并予以说明。</w:t>
      </w:r>
    </w:p>
    <w:p w14:paraId="52ADC2B2">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2、点位布设数量及位置</w:t>
      </w:r>
    </w:p>
    <w:p w14:paraId="28175771">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32"/>
          <w:highlight w:val="none"/>
          <w:lang w:val="en-US" w:eastAsia="zh-CN"/>
        </w:rPr>
        <w:t>重点场所或重点设施设备分布较密集的区域可统一划分为一个重点监测单元，每个重点监测单元原则上面积不大于6400m</w:t>
      </w:r>
      <w:r>
        <w:rPr>
          <w:rFonts w:hint="default" w:ascii="Times New Roman" w:hAnsi="Times New Roman" w:eastAsia="宋体" w:cs="Times New Roman"/>
          <w:color w:val="auto"/>
          <w:sz w:val="24"/>
          <w:szCs w:val="32"/>
          <w:highlight w:val="none"/>
          <w:vertAlign w:val="superscript"/>
          <w:lang w:val="en-US" w:eastAsia="zh-CN"/>
        </w:rPr>
        <w:t>2</w:t>
      </w:r>
      <w:r>
        <w:rPr>
          <w:rFonts w:hint="default" w:ascii="Times New Roman" w:hAnsi="Times New Roman" w:eastAsia="宋体" w:cs="Times New Roman"/>
          <w:color w:val="auto"/>
          <w:sz w:val="24"/>
          <w:szCs w:val="32"/>
          <w:highlight w:val="none"/>
          <w:lang w:val="en-US" w:eastAsia="zh-CN"/>
        </w:rPr>
        <w:t>。</w:t>
      </w:r>
    </w:p>
    <w:p w14:paraId="600B9CE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拆除生产线后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建议在原生产线所在区域，以及拆除过程中临时贮存区域，废水处理区域等位置按照相关导则要求进行点位布设，点位数量根据每个区域的使用面积进行设置。</w:t>
      </w:r>
    </w:p>
    <w:p w14:paraId="34626C82">
      <w:pPr>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highlight w:val="none"/>
          <w:lang w:val="en-US" w:eastAsia="zh-CN"/>
        </w:rPr>
        <w:t>本方案拟定布设3个土壤监测点，3个地下水监测点位（监测井点位和土壤点位重合）。点位尽可能的靠近生产区域。采样点位布设图如下。</w:t>
      </w:r>
    </w:p>
    <w:p w14:paraId="7FA67719">
      <w:pPr>
        <w:spacing w:line="360" w:lineRule="auto"/>
        <w:ind w:left="0" w:leftChars="0" w:firstLine="0" w:firstLineChars="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highlight w:val="none"/>
        </w:rPr>
        <w:drawing>
          <wp:inline distT="0" distB="0" distL="114300" distR="114300">
            <wp:extent cx="4934585" cy="2952115"/>
            <wp:effectExtent l="9525" t="9525" r="2794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9"/>
                    <a:stretch>
                      <a:fillRect/>
                    </a:stretch>
                  </pic:blipFill>
                  <pic:spPr>
                    <a:xfrm>
                      <a:off x="0" y="0"/>
                      <a:ext cx="4934585" cy="2952115"/>
                    </a:xfrm>
                    <a:prstGeom prst="rect">
                      <a:avLst/>
                    </a:prstGeom>
                    <a:noFill/>
                    <a:ln>
                      <a:solidFill>
                        <a:schemeClr val="tx1"/>
                      </a:solidFill>
                    </a:ln>
                  </pic:spPr>
                </pic:pic>
              </a:graphicData>
            </a:graphic>
          </wp:inline>
        </w:drawing>
      </w:r>
    </w:p>
    <w:p w14:paraId="2AEA600A">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图 </w:t>
      </w:r>
      <w:r>
        <w:rPr>
          <w:rFonts w:hint="default" w:ascii="Times New Roman" w:hAnsi="Times New Roman" w:cs="Times New Roman"/>
          <w:color w:val="auto"/>
          <w:sz w:val="21"/>
          <w:szCs w:val="21"/>
          <w:highlight w:val="none"/>
          <w:lang w:val="en-US" w:eastAsia="zh-CN"/>
        </w:rPr>
        <w:t>5.2-3</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土壤及地下水</w:t>
      </w:r>
      <w:r>
        <w:rPr>
          <w:rFonts w:hint="default" w:ascii="Times New Roman" w:hAnsi="Times New Roman" w:eastAsia="宋体" w:cs="Times New Roman"/>
          <w:color w:val="auto"/>
          <w:sz w:val="21"/>
          <w:szCs w:val="21"/>
          <w:highlight w:val="none"/>
          <w:lang w:val="en-US" w:eastAsia="zh-CN"/>
        </w:rPr>
        <w:t>点位布设图</w:t>
      </w:r>
    </w:p>
    <w:p w14:paraId="3B57F939">
      <w:pPr>
        <w:pStyle w:val="46"/>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 5.2-4 土壤及地下水点位布设信息一览表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1124"/>
        <w:gridCol w:w="1383"/>
        <w:gridCol w:w="1422"/>
        <w:gridCol w:w="2771"/>
      </w:tblGrid>
      <w:tr w14:paraId="2E73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restart"/>
            <w:noWrap w:val="0"/>
            <w:vAlign w:val="center"/>
          </w:tcPr>
          <w:p w14:paraId="5792C4CE">
            <w:pPr>
              <w:pStyle w:val="45"/>
              <w:bidi w:val="0"/>
              <w:jc w:val="center"/>
              <w:rPr>
                <w:rFonts w:hint="default"/>
                <w:color w:val="auto"/>
                <w:highlight w:val="none"/>
                <w:lang w:val="en-US" w:eastAsia="zh-CN"/>
              </w:rPr>
            </w:pPr>
            <w:r>
              <w:rPr>
                <w:rFonts w:hint="default"/>
                <w:color w:val="auto"/>
                <w:highlight w:val="none"/>
                <w:lang w:val="en-US" w:eastAsia="zh-CN"/>
              </w:rPr>
              <w:t>监测点位类型</w:t>
            </w:r>
          </w:p>
        </w:tc>
        <w:tc>
          <w:tcPr>
            <w:tcW w:w="0" w:type="auto"/>
            <w:vMerge w:val="restart"/>
            <w:noWrap w:val="0"/>
            <w:vAlign w:val="center"/>
          </w:tcPr>
          <w:p w14:paraId="54F2F96E">
            <w:pPr>
              <w:pStyle w:val="45"/>
              <w:bidi w:val="0"/>
              <w:jc w:val="center"/>
              <w:rPr>
                <w:rFonts w:hint="default"/>
                <w:color w:val="auto"/>
                <w:highlight w:val="none"/>
                <w:lang w:val="en-US" w:eastAsia="zh-CN"/>
              </w:rPr>
            </w:pPr>
            <w:r>
              <w:rPr>
                <w:rFonts w:hint="default"/>
                <w:color w:val="auto"/>
                <w:highlight w:val="none"/>
                <w:lang w:val="en-US" w:eastAsia="zh-CN"/>
              </w:rPr>
              <w:t>点位名称</w:t>
            </w:r>
          </w:p>
        </w:tc>
        <w:tc>
          <w:tcPr>
            <w:tcW w:w="2766" w:type="dxa"/>
            <w:gridSpan w:val="2"/>
            <w:noWrap w:val="0"/>
            <w:vAlign w:val="center"/>
          </w:tcPr>
          <w:p w14:paraId="6C2686BC">
            <w:pPr>
              <w:pStyle w:val="45"/>
              <w:bidi w:val="0"/>
              <w:jc w:val="center"/>
              <w:rPr>
                <w:rFonts w:hint="default"/>
                <w:color w:val="auto"/>
                <w:highlight w:val="none"/>
                <w:lang w:val="en-US" w:eastAsia="zh-CN"/>
              </w:rPr>
            </w:pPr>
            <w:r>
              <w:rPr>
                <w:rFonts w:hint="default"/>
                <w:color w:val="auto"/>
                <w:highlight w:val="none"/>
                <w:lang w:val="en-US" w:eastAsia="zh-CN"/>
              </w:rPr>
              <w:t>点位坐标</w:t>
            </w:r>
          </w:p>
        </w:tc>
        <w:tc>
          <w:tcPr>
            <w:tcW w:w="2771" w:type="dxa"/>
            <w:vMerge w:val="restart"/>
            <w:noWrap w:val="0"/>
            <w:vAlign w:val="center"/>
          </w:tcPr>
          <w:p w14:paraId="70F68230">
            <w:pPr>
              <w:pStyle w:val="45"/>
              <w:bidi w:val="0"/>
              <w:jc w:val="center"/>
              <w:rPr>
                <w:rFonts w:hint="default"/>
                <w:color w:val="auto"/>
                <w:highlight w:val="none"/>
                <w:lang w:val="en-US" w:eastAsia="zh-CN"/>
              </w:rPr>
            </w:pPr>
            <w:r>
              <w:rPr>
                <w:rFonts w:hint="default"/>
                <w:color w:val="auto"/>
                <w:highlight w:val="none"/>
                <w:lang w:val="en-US" w:eastAsia="zh-CN"/>
              </w:rPr>
              <w:t>布设原因</w:t>
            </w:r>
          </w:p>
        </w:tc>
      </w:tr>
      <w:tr w14:paraId="178C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continue"/>
            <w:noWrap w:val="0"/>
            <w:vAlign w:val="center"/>
          </w:tcPr>
          <w:p w14:paraId="5762EC9D">
            <w:pPr>
              <w:pStyle w:val="45"/>
              <w:bidi w:val="0"/>
              <w:jc w:val="center"/>
              <w:rPr>
                <w:rFonts w:hint="default"/>
                <w:color w:val="auto"/>
                <w:highlight w:val="none"/>
                <w:lang w:val="en-US" w:eastAsia="zh-CN"/>
              </w:rPr>
            </w:pPr>
          </w:p>
        </w:tc>
        <w:tc>
          <w:tcPr>
            <w:tcW w:w="0" w:type="auto"/>
            <w:vMerge w:val="continue"/>
            <w:noWrap w:val="0"/>
            <w:vAlign w:val="center"/>
          </w:tcPr>
          <w:p w14:paraId="0A9B9DDA">
            <w:pPr>
              <w:pStyle w:val="45"/>
              <w:bidi w:val="0"/>
              <w:jc w:val="center"/>
              <w:rPr>
                <w:rFonts w:hint="default"/>
                <w:color w:val="auto"/>
                <w:highlight w:val="none"/>
                <w:lang w:val="en-US" w:eastAsia="zh-CN"/>
              </w:rPr>
            </w:pPr>
          </w:p>
        </w:tc>
        <w:tc>
          <w:tcPr>
            <w:tcW w:w="1383" w:type="dxa"/>
            <w:noWrap w:val="0"/>
            <w:vAlign w:val="center"/>
          </w:tcPr>
          <w:p w14:paraId="79B162F3">
            <w:pPr>
              <w:pStyle w:val="45"/>
              <w:bidi w:val="0"/>
              <w:jc w:val="center"/>
              <w:rPr>
                <w:rFonts w:hint="default"/>
                <w:color w:val="auto"/>
                <w:highlight w:val="none"/>
                <w:lang w:val="en-US" w:eastAsia="zh-CN"/>
              </w:rPr>
            </w:pPr>
            <w:r>
              <w:rPr>
                <w:rFonts w:hint="eastAsia"/>
                <w:color w:val="auto"/>
                <w:highlight w:val="none"/>
                <w:lang w:val="en-US" w:eastAsia="zh-CN"/>
              </w:rPr>
              <w:t>纬度</w:t>
            </w:r>
          </w:p>
        </w:tc>
        <w:tc>
          <w:tcPr>
            <w:tcW w:w="1383" w:type="dxa"/>
            <w:noWrap w:val="0"/>
            <w:vAlign w:val="center"/>
          </w:tcPr>
          <w:p w14:paraId="4F288D74">
            <w:pPr>
              <w:pStyle w:val="45"/>
              <w:bidi w:val="0"/>
              <w:jc w:val="center"/>
              <w:rPr>
                <w:rFonts w:hint="default"/>
                <w:color w:val="auto"/>
                <w:highlight w:val="none"/>
                <w:lang w:val="en-US" w:eastAsia="zh-CN"/>
              </w:rPr>
            </w:pPr>
            <w:r>
              <w:rPr>
                <w:rFonts w:hint="eastAsia"/>
                <w:color w:val="auto"/>
                <w:highlight w:val="none"/>
                <w:lang w:val="en-US" w:eastAsia="zh-CN"/>
              </w:rPr>
              <w:t>经度</w:t>
            </w:r>
          </w:p>
        </w:tc>
        <w:tc>
          <w:tcPr>
            <w:tcW w:w="2771" w:type="dxa"/>
            <w:vMerge w:val="continue"/>
            <w:noWrap w:val="0"/>
            <w:vAlign w:val="center"/>
          </w:tcPr>
          <w:p w14:paraId="2AF4239D">
            <w:pPr>
              <w:pStyle w:val="45"/>
              <w:bidi w:val="0"/>
              <w:jc w:val="center"/>
              <w:rPr>
                <w:rFonts w:hint="default"/>
                <w:color w:val="auto"/>
                <w:highlight w:val="none"/>
                <w:lang w:val="en-US" w:eastAsia="zh-CN"/>
              </w:rPr>
            </w:pPr>
          </w:p>
        </w:tc>
      </w:tr>
      <w:tr w14:paraId="3DD7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vMerge w:val="restart"/>
            <w:noWrap w:val="0"/>
            <w:vAlign w:val="center"/>
          </w:tcPr>
          <w:p w14:paraId="7159FD59">
            <w:pPr>
              <w:pStyle w:val="45"/>
              <w:bidi w:val="0"/>
              <w:jc w:val="center"/>
              <w:rPr>
                <w:rFonts w:hint="default"/>
                <w:color w:val="auto"/>
                <w:highlight w:val="none"/>
                <w:lang w:val="en-US" w:eastAsia="zh-CN"/>
              </w:rPr>
            </w:pPr>
            <w:r>
              <w:rPr>
                <w:rFonts w:hint="default"/>
                <w:color w:val="auto"/>
                <w:highlight w:val="none"/>
                <w:lang w:val="en-US" w:eastAsia="zh-CN"/>
              </w:rPr>
              <w:t>土壤及地下水监测点</w:t>
            </w:r>
          </w:p>
        </w:tc>
        <w:tc>
          <w:tcPr>
            <w:tcW w:w="0" w:type="auto"/>
            <w:noWrap w:val="0"/>
            <w:vAlign w:val="center"/>
          </w:tcPr>
          <w:p w14:paraId="3C59460E">
            <w:pPr>
              <w:pStyle w:val="45"/>
              <w:bidi w:val="0"/>
              <w:jc w:val="center"/>
              <w:rPr>
                <w:rFonts w:hint="default"/>
                <w:color w:val="auto"/>
                <w:highlight w:val="none"/>
                <w:lang w:val="en-US" w:eastAsia="zh-CN"/>
              </w:rPr>
            </w:pPr>
            <w:r>
              <w:rPr>
                <w:rFonts w:hint="eastAsia"/>
                <w:color w:val="auto"/>
                <w:highlight w:val="none"/>
                <w:lang w:val="en-US" w:eastAsia="zh-CN"/>
              </w:rPr>
              <w:t>S1（W1）</w:t>
            </w:r>
          </w:p>
        </w:tc>
        <w:tc>
          <w:tcPr>
            <w:tcW w:w="1383" w:type="dxa"/>
            <w:noWrap w:val="0"/>
            <w:vAlign w:val="center"/>
          </w:tcPr>
          <w:p w14:paraId="6BE61CAE">
            <w:pPr>
              <w:pStyle w:val="45"/>
              <w:bidi w:val="0"/>
              <w:jc w:val="center"/>
              <w:rPr>
                <w:rFonts w:hint="default"/>
                <w:color w:val="auto"/>
                <w:highlight w:val="none"/>
                <w:lang w:val="en-US" w:eastAsia="zh-CN"/>
              </w:rPr>
            </w:pPr>
            <w:r>
              <w:rPr>
                <w:rFonts w:hint="default"/>
                <w:color w:val="auto"/>
                <w:highlight w:val="none"/>
                <w:lang w:val="en-US" w:eastAsia="zh-CN"/>
              </w:rPr>
              <w:t>31°48'48.61"</w:t>
            </w:r>
          </w:p>
        </w:tc>
        <w:tc>
          <w:tcPr>
            <w:tcW w:w="1383" w:type="dxa"/>
            <w:noWrap w:val="0"/>
            <w:vAlign w:val="center"/>
          </w:tcPr>
          <w:p w14:paraId="4532C47D">
            <w:pPr>
              <w:pStyle w:val="45"/>
              <w:bidi w:val="0"/>
              <w:jc w:val="center"/>
              <w:rPr>
                <w:rFonts w:hint="default"/>
                <w:color w:val="auto"/>
                <w:highlight w:val="none"/>
                <w:lang w:val="en-US" w:eastAsia="zh-CN"/>
              </w:rPr>
            </w:pPr>
            <w:r>
              <w:rPr>
                <w:rFonts w:hint="default"/>
                <w:color w:val="auto"/>
                <w:highlight w:val="none"/>
                <w:lang w:val="en-US" w:eastAsia="zh-CN"/>
              </w:rPr>
              <w:t>120°47'32.89"</w:t>
            </w:r>
          </w:p>
        </w:tc>
        <w:tc>
          <w:tcPr>
            <w:tcW w:w="2771" w:type="dxa"/>
            <w:noWrap w:val="0"/>
            <w:vAlign w:val="center"/>
          </w:tcPr>
          <w:p w14:paraId="0167AD3A">
            <w:pPr>
              <w:pStyle w:val="45"/>
              <w:bidi w:val="0"/>
              <w:jc w:val="center"/>
              <w:rPr>
                <w:rFonts w:hint="default"/>
                <w:color w:val="auto"/>
                <w:highlight w:val="none"/>
                <w:lang w:val="en-US" w:eastAsia="zh-CN"/>
              </w:rPr>
            </w:pPr>
            <w:r>
              <w:rPr>
                <w:rFonts w:hint="eastAsia"/>
                <w:color w:val="auto"/>
                <w:highlight w:val="none"/>
                <w:lang w:val="en-US" w:eastAsia="zh-CN"/>
              </w:rPr>
              <w:t>位于生产线地下水流向上游</w:t>
            </w:r>
          </w:p>
        </w:tc>
      </w:tr>
      <w:tr w14:paraId="4EB4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vMerge w:val="continue"/>
            <w:noWrap w:val="0"/>
            <w:vAlign w:val="center"/>
          </w:tcPr>
          <w:p w14:paraId="51F861CB">
            <w:pPr>
              <w:pStyle w:val="45"/>
              <w:bidi w:val="0"/>
              <w:jc w:val="center"/>
              <w:rPr>
                <w:rFonts w:hint="default"/>
                <w:color w:val="auto"/>
                <w:highlight w:val="none"/>
                <w:lang w:val="en-US" w:eastAsia="zh-CN"/>
              </w:rPr>
            </w:pPr>
          </w:p>
        </w:tc>
        <w:tc>
          <w:tcPr>
            <w:tcW w:w="0" w:type="auto"/>
            <w:noWrap w:val="0"/>
            <w:vAlign w:val="center"/>
          </w:tcPr>
          <w:p w14:paraId="5E73851F">
            <w:pPr>
              <w:pStyle w:val="45"/>
              <w:bidi w:val="0"/>
              <w:jc w:val="center"/>
              <w:rPr>
                <w:rFonts w:hint="default"/>
                <w:color w:val="auto"/>
                <w:highlight w:val="none"/>
                <w:lang w:val="en-US" w:eastAsia="zh-CN"/>
              </w:rPr>
            </w:pPr>
            <w:r>
              <w:rPr>
                <w:rFonts w:hint="eastAsia"/>
                <w:color w:val="auto"/>
                <w:highlight w:val="none"/>
                <w:lang w:val="en-US" w:eastAsia="zh-CN"/>
              </w:rPr>
              <w:t>S2（W2）</w:t>
            </w:r>
          </w:p>
        </w:tc>
        <w:tc>
          <w:tcPr>
            <w:tcW w:w="1383" w:type="dxa"/>
            <w:noWrap w:val="0"/>
            <w:vAlign w:val="center"/>
          </w:tcPr>
          <w:p w14:paraId="2E4A25EB">
            <w:pPr>
              <w:pStyle w:val="45"/>
              <w:bidi w:val="0"/>
              <w:jc w:val="center"/>
              <w:rPr>
                <w:rFonts w:hint="default"/>
                <w:color w:val="auto"/>
                <w:highlight w:val="none"/>
                <w:lang w:val="en-US" w:eastAsia="zh-CN"/>
              </w:rPr>
            </w:pPr>
            <w:r>
              <w:rPr>
                <w:rFonts w:hint="default"/>
                <w:color w:val="auto"/>
                <w:highlight w:val="none"/>
                <w:lang w:val="en-US" w:eastAsia="zh-CN"/>
              </w:rPr>
              <w:t>31°48'47.76"</w:t>
            </w:r>
          </w:p>
        </w:tc>
        <w:tc>
          <w:tcPr>
            <w:tcW w:w="1383" w:type="dxa"/>
            <w:noWrap w:val="0"/>
            <w:vAlign w:val="center"/>
          </w:tcPr>
          <w:p w14:paraId="335A945C">
            <w:pPr>
              <w:pStyle w:val="45"/>
              <w:bidi w:val="0"/>
              <w:jc w:val="center"/>
              <w:rPr>
                <w:rFonts w:hint="default"/>
                <w:color w:val="auto"/>
                <w:highlight w:val="none"/>
                <w:lang w:val="en-US" w:eastAsia="zh-CN"/>
              </w:rPr>
            </w:pPr>
            <w:r>
              <w:rPr>
                <w:rFonts w:hint="default"/>
                <w:color w:val="auto"/>
                <w:highlight w:val="none"/>
                <w:lang w:val="en-US" w:eastAsia="zh-CN"/>
              </w:rPr>
              <w:t>120°47'35.21"</w:t>
            </w:r>
          </w:p>
        </w:tc>
        <w:tc>
          <w:tcPr>
            <w:tcW w:w="2771" w:type="dxa"/>
            <w:noWrap w:val="0"/>
            <w:vAlign w:val="center"/>
          </w:tcPr>
          <w:p w14:paraId="4635A8FE">
            <w:pPr>
              <w:pStyle w:val="45"/>
              <w:bidi w:val="0"/>
              <w:jc w:val="center"/>
              <w:rPr>
                <w:rFonts w:hint="default"/>
                <w:color w:val="auto"/>
                <w:highlight w:val="none"/>
                <w:lang w:val="en-US" w:eastAsia="zh-CN"/>
              </w:rPr>
            </w:pPr>
            <w:r>
              <w:rPr>
                <w:rFonts w:hint="eastAsia"/>
                <w:color w:val="auto"/>
                <w:highlight w:val="none"/>
                <w:lang w:val="en-US" w:eastAsia="zh-CN"/>
              </w:rPr>
              <w:t>位于生产线（反应釜）地下水流向下游，靠近反应釜处</w:t>
            </w:r>
          </w:p>
        </w:tc>
      </w:tr>
      <w:tr w14:paraId="4060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vMerge w:val="continue"/>
            <w:noWrap w:val="0"/>
            <w:vAlign w:val="center"/>
          </w:tcPr>
          <w:p w14:paraId="727B8824">
            <w:pPr>
              <w:pStyle w:val="45"/>
              <w:bidi w:val="0"/>
              <w:jc w:val="center"/>
              <w:rPr>
                <w:rFonts w:hint="default"/>
                <w:color w:val="auto"/>
                <w:highlight w:val="none"/>
                <w:lang w:val="en-US" w:eastAsia="zh-CN"/>
              </w:rPr>
            </w:pPr>
          </w:p>
        </w:tc>
        <w:tc>
          <w:tcPr>
            <w:tcW w:w="0" w:type="auto"/>
            <w:noWrap w:val="0"/>
            <w:vAlign w:val="center"/>
          </w:tcPr>
          <w:p w14:paraId="5BCE7602">
            <w:pPr>
              <w:pStyle w:val="45"/>
              <w:bidi w:val="0"/>
              <w:jc w:val="center"/>
              <w:rPr>
                <w:rFonts w:hint="default"/>
                <w:color w:val="auto"/>
                <w:highlight w:val="none"/>
                <w:lang w:val="en-US" w:eastAsia="zh-CN"/>
              </w:rPr>
            </w:pPr>
            <w:r>
              <w:rPr>
                <w:rFonts w:hint="eastAsia"/>
                <w:color w:val="auto"/>
                <w:highlight w:val="none"/>
                <w:lang w:val="en-US" w:eastAsia="zh-CN"/>
              </w:rPr>
              <w:t>S3（W3）</w:t>
            </w:r>
          </w:p>
        </w:tc>
        <w:tc>
          <w:tcPr>
            <w:tcW w:w="1383" w:type="dxa"/>
            <w:noWrap w:val="0"/>
            <w:vAlign w:val="center"/>
          </w:tcPr>
          <w:p w14:paraId="0D6A2B63">
            <w:pPr>
              <w:pStyle w:val="45"/>
              <w:bidi w:val="0"/>
              <w:jc w:val="center"/>
              <w:rPr>
                <w:rFonts w:hint="default"/>
                <w:color w:val="auto"/>
                <w:highlight w:val="none"/>
                <w:lang w:val="en-US" w:eastAsia="zh-CN"/>
              </w:rPr>
            </w:pPr>
            <w:r>
              <w:rPr>
                <w:rFonts w:hint="default"/>
                <w:color w:val="auto"/>
                <w:highlight w:val="none"/>
                <w:lang w:val="en-US" w:eastAsia="zh-CN"/>
              </w:rPr>
              <w:t>31°48'47.71"</w:t>
            </w:r>
          </w:p>
        </w:tc>
        <w:tc>
          <w:tcPr>
            <w:tcW w:w="1383" w:type="dxa"/>
            <w:noWrap w:val="0"/>
            <w:vAlign w:val="center"/>
          </w:tcPr>
          <w:p w14:paraId="7642B8EA">
            <w:pPr>
              <w:pStyle w:val="45"/>
              <w:bidi w:val="0"/>
              <w:jc w:val="center"/>
              <w:rPr>
                <w:rFonts w:hint="default"/>
                <w:color w:val="auto"/>
                <w:highlight w:val="none"/>
                <w:lang w:val="en-US" w:eastAsia="zh-CN"/>
              </w:rPr>
            </w:pPr>
            <w:r>
              <w:rPr>
                <w:rFonts w:hint="default"/>
                <w:color w:val="auto"/>
                <w:highlight w:val="none"/>
                <w:lang w:val="en-US" w:eastAsia="zh-CN"/>
              </w:rPr>
              <w:t>120°47'33.74"</w:t>
            </w:r>
          </w:p>
        </w:tc>
        <w:tc>
          <w:tcPr>
            <w:tcW w:w="2771" w:type="dxa"/>
            <w:noWrap w:val="0"/>
            <w:vAlign w:val="center"/>
          </w:tcPr>
          <w:p w14:paraId="291A1B9B">
            <w:pPr>
              <w:pStyle w:val="45"/>
              <w:bidi w:val="0"/>
              <w:jc w:val="center"/>
              <w:rPr>
                <w:rFonts w:hint="default"/>
                <w:color w:val="auto"/>
                <w:highlight w:val="none"/>
                <w:lang w:val="en-US" w:eastAsia="zh-CN"/>
              </w:rPr>
            </w:pPr>
            <w:r>
              <w:rPr>
                <w:rFonts w:hint="eastAsia"/>
                <w:color w:val="auto"/>
                <w:highlight w:val="none"/>
                <w:lang w:val="en-US" w:eastAsia="zh-CN"/>
              </w:rPr>
              <w:t>位于生产线地下水流向中游，靠近料槽</w:t>
            </w:r>
          </w:p>
        </w:tc>
      </w:tr>
    </w:tbl>
    <w:p w14:paraId="663BC34F">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3980143C">
      <w:pPr>
        <w:pStyle w:val="5"/>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5.2.4.2 采样深度</w:t>
      </w:r>
    </w:p>
    <w:p w14:paraId="1FAE8005">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根据《建设用地土壤污染状况调查技术导则》（HJ</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25.1-2019），土壤采样深度应根据污染源位置、迁移和地层结构以及水文地质等进行判断设置，若对地块信息了解不足，难以合理判断采样深度，可按0.5~2m等间距设置采样位置。</w:t>
      </w:r>
    </w:p>
    <w:p w14:paraId="420AFB82">
      <w:pPr>
        <w:numPr>
          <w:ilvl w:val="0"/>
          <w:numId w:val="0"/>
        </w:num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《建设用地土壤污染风险管控和修复监测技术导则》（HJ</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25.2-2019）规定：采样深度应扣除地表非土壤硬化层厚度，原则上应采集0~0.5m表层土壤样品，0.5m以下下层土壤样品根据判断布点法采集，建议0.5~6m土壤采样间隔不超过2m，不同性质土层至少采集1个土壤样品。同一性质土层厚度较大或出现明显污染痕迹时，根据实际情况在该层位增加采样点。</w:t>
      </w:r>
    </w:p>
    <w:p w14:paraId="4340EEB0">
      <w:pPr>
        <w:pStyle w:val="1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钻探深度需要大于池体深度。</w:t>
      </w:r>
    </w:p>
    <w:p w14:paraId="7AA03FD6">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拆除后的采样深度取决于拆除方式。</w:t>
      </w:r>
    </w:p>
    <w:p w14:paraId="12D02C69">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本次调查监测点需钻探至15m，根据前期资料收集，地块所在区域15m内钻孔揭露土层为</w:t>
      </w:r>
      <w:r>
        <w:rPr>
          <w:rFonts w:hint="default" w:ascii="Times New Roman" w:hAnsi="Times New Roman" w:eastAsia="宋体" w:cs="Times New Roman"/>
          <w:color w:val="auto"/>
          <w:sz w:val="24"/>
          <w:highlight w:val="none"/>
        </w:rPr>
        <w:t>素填土</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粉质粘土</w:t>
      </w:r>
      <w:r>
        <w:rPr>
          <w:rFonts w:hint="default" w:ascii="Times New Roman" w:hAnsi="Times New Roman" w:eastAsia="宋体" w:cs="Times New Roman"/>
          <w:color w:val="auto"/>
          <w:sz w:val="24"/>
          <w:highlight w:val="none"/>
          <w:lang w:val="en-US" w:eastAsia="zh-CN"/>
        </w:rPr>
        <w:t>、淤泥质粉质粘土、淤泥质粉质粘土夹粉土。本次监测采集样品及数量如下：</w:t>
      </w:r>
    </w:p>
    <w:p w14:paraId="4C57C121">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（1）土壤样品：共布设3个土壤采样点，钻探深度15m。预计每个采样点位采集土壤样品8个，预计共采集土壤样品27个（含3个平行样）。</w:t>
      </w:r>
    </w:p>
    <w:p w14:paraId="4317A806">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（2）地下水样品：共布设3个地下水采样点（监测井点位和土壤点位重合），钻探深度15m。若揭露地下水，则预计每口监测井采集1个地下水样品，预计共采集地下水样品4个（含1个平行样）。</w:t>
      </w:r>
    </w:p>
    <w:p w14:paraId="25988CA2">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lang w:val="en-US" w:eastAsia="zh-CN"/>
        </w:rPr>
        <w:t>（3）土工试验样品：共布设3个土壤采样点，预计每个采样点采集3个土工样品（</w:t>
      </w:r>
      <w:r>
        <w:rPr>
          <w:rFonts w:hint="default" w:ascii="Times New Roman" w:hAnsi="Times New Roman" w:eastAsia="宋体" w:cs="Times New Roman"/>
          <w:color w:val="auto"/>
          <w:sz w:val="24"/>
          <w:highlight w:val="none"/>
        </w:rPr>
        <w:t>粉质粘土</w:t>
      </w:r>
      <w:r>
        <w:rPr>
          <w:rFonts w:hint="default" w:ascii="Times New Roman" w:hAnsi="Times New Roman" w:eastAsia="宋体" w:cs="Times New Roman"/>
          <w:color w:val="auto"/>
          <w:sz w:val="24"/>
          <w:highlight w:val="none"/>
          <w:lang w:val="en-US" w:eastAsia="zh-CN"/>
        </w:rPr>
        <w:t>、淤泥质粉质粘土、淤泥质粉质粘土夹粉土层各采集1个），预计共采集土工样品9个。</w:t>
      </w:r>
    </w:p>
    <w:p w14:paraId="72972B9F">
      <w:pPr>
        <w:pStyle w:val="4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 5</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工作量统计表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5"/>
        <w:gridCol w:w="2766"/>
        <w:gridCol w:w="1083"/>
        <w:gridCol w:w="830"/>
        <w:gridCol w:w="2953"/>
      </w:tblGrid>
      <w:tr w14:paraId="70BA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trPr>
        <w:tc>
          <w:tcPr>
            <w:tcW w:w="417" w:type="pct"/>
            <w:noWrap w:val="0"/>
            <w:tcMar>
              <w:top w:w="12" w:type="dxa"/>
              <w:left w:w="12" w:type="dxa"/>
              <w:right w:w="12" w:type="dxa"/>
            </w:tcMar>
            <w:vAlign w:val="center"/>
          </w:tcPr>
          <w:p w14:paraId="73FFD163">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1660" w:type="pct"/>
            <w:noWrap w:val="0"/>
            <w:tcMar>
              <w:top w:w="12" w:type="dxa"/>
              <w:left w:w="12" w:type="dxa"/>
              <w:right w:w="12" w:type="dxa"/>
            </w:tcMar>
            <w:vAlign w:val="center"/>
          </w:tcPr>
          <w:p w14:paraId="068FCB93">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w:t>
            </w:r>
          </w:p>
        </w:tc>
        <w:tc>
          <w:tcPr>
            <w:tcW w:w="650" w:type="pct"/>
            <w:noWrap w:val="0"/>
            <w:tcMar>
              <w:top w:w="12" w:type="dxa"/>
              <w:left w:w="12" w:type="dxa"/>
              <w:right w:w="12" w:type="dxa"/>
            </w:tcMar>
            <w:vAlign w:val="center"/>
          </w:tcPr>
          <w:p w14:paraId="763C8B00">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单位</w:t>
            </w:r>
          </w:p>
        </w:tc>
        <w:tc>
          <w:tcPr>
            <w:tcW w:w="498" w:type="pct"/>
            <w:noWrap w:val="0"/>
            <w:tcMar>
              <w:top w:w="12" w:type="dxa"/>
              <w:left w:w="12" w:type="dxa"/>
              <w:right w:w="12" w:type="dxa"/>
            </w:tcMar>
            <w:vAlign w:val="center"/>
          </w:tcPr>
          <w:p w14:paraId="4E2974E6">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数量</w:t>
            </w:r>
          </w:p>
        </w:tc>
        <w:tc>
          <w:tcPr>
            <w:tcW w:w="1772" w:type="pct"/>
            <w:noWrap w:val="0"/>
            <w:tcMar>
              <w:top w:w="12" w:type="dxa"/>
              <w:left w:w="12" w:type="dxa"/>
              <w:right w:w="12" w:type="dxa"/>
            </w:tcMar>
            <w:vAlign w:val="center"/>
          </w:tcPr>
          <w:p w14:paraId="63D32B9F">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备注</w:t>
            </w:r>
          </w:p>
        </w:tc>
      </w:tr>
      <w:tr w14:paraId="713D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7" w:type="pct"/>
            <w:noWrap w:val="0"/>
            <w:tcMar>
              <w:top w:w="12" w:type="dxa"/>
              <w:left w:w="12" w:type="dxa"/>
              <w:right w:w="12" w:type="dxa"/>
            </w:tcMar>
            <w:vAlign w:val="center"/>
          </w:tcPr>
          <w:p w14:paraId="652A5B00">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660" w:type="pct"/>
            <w:noWrap w:val="0"/>
            <w:tcMar>
              <w:top w:w="12" w:type="dxa"/>
              <w:left w:w="12" w:type="dxa"/>
              <w:right w:w="12" w:type="dxa"/>
            </w:tcMar>
            <w:vAlign w:val="center"/>
          </w:tcPr>
          <w:p w14:paraId="3D80B2F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土壤采样孔</w:t>
            </w:r>
          </w:p>
        </w:tc>
        <w:tc>
          <w:tcPr>
            <w:tcW w:w="650" w:type="pct"/>
            <w:noWrap w:val="0"/>
            <w:tcMar>
              <w:top w:w="12" w:type="dxa"/>
              <w:left w:w="12" w:type="dxa"/>
              <w:right w:w="12" w:type="dxa"/>
            </w:tcMar>
            <w:vAlign w:val="center"/>
          </w:tcPr>
          <w:p w14:paraId="71DB5C8E">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w:t>
            </w:r>
          </w:p>
        </w:tc>
        <w:tc>
          <w:tcPr>
            <w:tcW w:w="498" w:type="pct"/>
            <w:noWrap w:val="0"/>
            <w:tcMar>
              <w:top w:w="12" w:type="dxa"/>
              <w:left w:w="12" w:type="dxa"/>
              <w:right w:w="12" w:type="dxa"/>
            </w:tcMar>
            <w:vAlign w:val="center"/>
          </w:tcPr>
          <w:p w14:paraId="6527C12D">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w:t>
            </w:r>
          </w:p>
        </w:tc>
        <w:tc>
          <w:tcPr>
            <w:tcW w:w="1772" w:type="pct"/>
            <w:noWrap w:val="0"/>
            <w:tcMar>
              <w:top w:w="12" w:type="dxa"/>
              <w:left w:w="12" w:type="dxa"/>
              <w:right w:w="12" w:type="dxa"/>
            </w:tcMar>
            <w:vAlign w:val="center"/>
          </w:tcPr>
          <w:p w14:paraId="11E26F70">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3*15m</w:t>
            </w:r>
          </w:p>
        </w:tc>
      </w:tr>
      <w:tr w14:paraId="7DF4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7" w:type="pct"/>
            <w:noWrap w:val="0"/>
            <w:tcMar>
              <w:top w:w="12" w:type="dxa"/>
              <w:left w:w="12" w:type="dxa"/>
              <w:right w:w="12" w:type="dxa"/>
            </w:tcMar>
            <w:vAlign w:val="center"/>
          </w:tcPr>
          <w:p w14:paraId="4F60E3D1">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1660" w:type="pct"/>
            <w:noWrap w:val="0"/>
            <w:tcMar>
              <w:top w:w="12" w:type="dxa"/>
              <w:left w:w="12" w:type="dxa"/>
              <w:right w:w="12" w:type="dxa"/>
            </w:tcMar>
            <w:vAlign w:val="center"/>
          </w:tcPr>
          <w:p w14:paraId="522D0FCA">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土壤样品采集</w:t>
            </w:r>
          </w:p>
        </w:tc>
        <w:tc>
          <w:tcPr>
            <w:tcW w:w="650" w:type="pct"/>
            <w:noWrap w:val="0"/>
            <w:tcMar>
              <w:top w:w="12" w:type="dxa"/>
              <w:left w:w="12" w:type="dxa"/>
              <w:right w:w="12" w:type="dxa"/>
            </w:tcMar>
            <w:vAlign w:val="center"/>
          </w:tcPr>
          <w:p w14:paraId="4301824F">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个</w:t>
            </w:r>
          </w:p>
        </w:tc>
        <w:tc>
          <w:tcPr>
            <w:tcW w:w="498" w:type="pct"/>
            <w:noWrap w:val="0"/>
            <w:tcMar>
              <w:top w:w="12" w:type="dxa"/>
              <w:left w:w="12" w:type="dxa"/>
              <w:right w:w="12" w:type="dxa"/>
            </w:tcMar>
            <w:vAlign w:val="center"/>
          </w:tcPr>
          <w:p w14:paraId="45BD120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w:t>
            </w:r>
          </w:p>
        </w:tc>
        <w:tc>
          <w:tcPr>
            <w:tcW w:w="1772" w:type="pct"/>
            <w:noWrap w:val="0"/>
            <w:tcMar>
              <w:top w:w="12" w:type="dxa"/>
              <w:left w:w="12" w:type="dxa"/>
              <w:right w:w="12" w:type="dxa"/>
            </w:tcMar>
            <w:vAlign w:val="center"/>
          </w:tcPr>
          <w:p w14:paraId="0B11B13A">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3*8个</w:t>
            </w:r>
          </w:p>
        </w:tc>
      </w:tr>
      <w:tr w14:paraId="56C9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7" w:type="pct"/>
            <w:noWrap w:val="0"/>
            <w:tcMar>
              <w:top w:w="12" w:type="dxa"/>
              <w:left w:w="12" w:type="dxa"/>
              <w:right w:w="12" w:type="dxa"/>
            </w:tcMar>
            <w:vAlign w:val="center"/>
          </w:tcPr>
          <w:p w14:paraId="645F88DC">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1660" w:type="pct"/>
            <w:noWrap w:val="0"/>
            <w:tcMar>
              <w:top w:w="12" w:type="dxa"/>
              <w:left w:w="12" w:type="dxa"/>
              <w:right w:w="12" w:type="dxa"/>
            </w:tcMar>
            <w:vAlign w:val="center"/>
          </w:tcPr>
          <w:p w14:paraId="4E861E48">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监测井</w:t>
            </w:r>
          </w:p>
        </w:tc>
        <w:tc>
          <w:tcPr>
            <w:tcW w:w="650" w:type="pct"/>
            <w:noWrap w:val="0"/>
            <w:tcMar>
              <w:top w:w="12" w:type="dxa"/>
              <w:left w:w="12" w:type="dxa"/>
              <w:right w:w="12" w:type="dxa"/>
            </w:tcMar>
            <w:vAlign w:val="center"/>
          </w:tcPr>
          <w:p w14:paraId="4A1BD500">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口</w:t>
            </w:r>
          </w:p>
        </w:tc>
        <w:tc>
          <w:tcPr>
            <w:tcW w:w="498" w:type="pct"/>
            <w:noWrap w:val="0"/>
            <w:tcMar>
              <w:top w:w="12" w:type="dxa"/>
              <w:left w:w="12" w:type="dxa"/>
              <w:right w:w="12" w:type="dxa"/>
            </w:tcMar>
            <w:vAlign w:val="center"/>
          </w:tcPr>
          <w:p w14:paraId="7137B17D">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1772" w:type="pct"/>
            <w:noWrap w:val="0"/>
            <w:tcMar>
              <w:top w:w="12" w:type="dxa"/>
              <w:left w:w="12" w:type="dxa"/>
              <w:right w:w="12" w:type="dxa"/>
            </w:tcMar>
            <w:vAlign w:val="center"/>
          </w:tcPr>
          <w:p w14:paraId="159D1AF1">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位置和土壤采样孔重合</w:t>
            </w:r>
          </w:p>
        </w:tc>
      </w:tr>
      <w:tr w14:paraId="6294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7" w:type="pct"/>
            <w:noWrap w:val="0"/>
            <w:tcMar>
              <w:top w:w="12" w:type="dxa"/>
              <w:left w:w="12" w:type="dxa"/>
              <w:right w:w="12" w:type="dxa"/>
            </w:tcMar>
            <w:vAlign w:val="center"/>
          </w:tcPr>
          <w:p w14:paraId="79C730C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1660" w:type="pct"/>
            <w:noWrap w:val="0"/>
            <w:tcMar>
              <w:top w:w="12" w:type="dxa"/>
              <w:left w:w="12" w:type="dxa"/>
              <w:right w:w="12" w:type="dxa"/>
            </w:tcMar>
            <w:vAlign w:val="center"/>
          </w:tcPr>
          <w:p w14:paraId="3891726A">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地下水样品采集</w:t>
            </w:r>
          </w:p>
        </w:tc>
        <w:tc>
          <w:tcPr>
            <w:tcW w:w="650" w:type="pct"/>
            <w:noWrap w:val="0"/>
            <w:tcMar>
              <w:top w:w="12" w:type="dxa"/>
              <w:left w:w="12" w:type="dxa"/>
              <w:right w:w="12" w:type="dxa"/>
            </w:tcMar>
            <w:vAlign w:val="center"/>
          </w:tcPr>
          <w:p w14:paraId="2E6E90F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个</w:t>
            </w:r>
          </w:p>
        </w:tc>
        <w:tc>
          <w:tcPr>
            <w:tcW w:w="498" w:type="pct"/>
            <w:noWrap w:val="0"/>
            <w:tcMar>
              <w:top w:w="12" w:type="dxa"/>
              <w:left w:w="12" w:type="dxa"/>
              <w:right w:w="12" w:type="dxa"/>
            </w:tcMar>
            <w:vAlign w:val="center"/>
          </w:tcPr>
          <w:p w14:paraId="58E959CD">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1772" w:type="pct"/>
            <w:noWrap w:val="0"/>
            <w:tcMar>
              <w:top w:w="12" w:type="dxa"/>
              <w:left w:w="12" w:type="dxa"/>
              <w:right w:w="12" w:type="dxa"/>
            </w:tcMar>
            <w:vAlign w:val="center"/>
          </w:tcPr>
          <w:p w14:paraId="4B37A57B">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1*3个</w:t>
            </w:r>
          </w:p>
        </w:tc>
      </w:tr>
      <w:tr w14:paraId="03DC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7" w:type="pct"/>
            <w:noWrap w:val="0"/>
            <w:tcMar>
              <w:top w:w="12" w:type="dxa"/>
              <w:left w:w="12" w:type="dxa"/>
              <w:right w:w="12" w:type="dxa"/>
            </w:tcMar>
            <w:vAlign w:val="center"/>
          </w:tcPr>
          <w:p w14:paraId="55A7AB07">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1660" w:type="pct"/>
            <w:noWrap w:val="0"/>
            <w:tcMar>
              <w:top w:w="12" w:type="dxa"/>
              <w:left w:w="12" w:type="dxa"/>
              <w:right w:w="12" w:type="dxa"/>
            </w:tcMar>
            <w:vAlign w:val="center"/>
          </w:tcPr>
          <w:p w14:paraId="6F1A1D41">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土工试验</w:t>
            </w:r>
          </w:p>
        </w:tc>
        <w:tc>
          <w:tcPr>
            <w:tcW w:w="650" w:type="pct"/>
            <w:noWrap w:val="0"/>
            <w:tcMar>
              <w:top w:w="12" w:type="dxa"/>
              <w:left w:w="12" w:type="dxa"/>
              <w:right w:w="12" w:type="dxa"/>
            </w:tcMar>
            <w:vAlign w:val="center"/>
          </w:tcPr>
          <w:p w14:paraId="0B1606BA">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个</w:t>
            </w:r>
          </w:p>
        </w:tc>
        <w:tc>
          <w:tcPr>
            <w:tcW w:w="498" w:type="pct"/>
            <w:noWrap w:val="0"/>
            <w:tcMar>
              <w:top w:w="12" w:type="dxa"/>
              <w:left w:w="12" w:type="dxa"/>
              <w:right w:w="12" w:type="dxa"/>
            </w:tcMar>
            <w:vAlign w:val="center"/>
          </w:tcPr>
          <w:p w14:paraId="66AA0E5A">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w:t>
            </w:r>
          </w:p>
        </w:tc>
        <w:tc>
          <w:tcPr>
            <w:tcW w:w="1772" w:type="pct"/>
            <w:noWrap w:val="0"/>
            <w:tcMar>
              <w:top w:w="12" w:type="dxa"/>
              <w:left w:w="12" w:type="dxa"/>
              <w:right w:w="12" w:type="dxa"/>
            </w:tcMar>
            <w:vAlign w:val="center"/>
          </w:tcPr>
          <w:p w14:paraId="4310C11B">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3*3个</w:t>
            </w:r>
          </w:p>
        </w:tc>
      </w:tr>
    </w:tbl>
    <w:p w14:paraId="54931A84">
      <w:pPr>
        <w:pStyle w:val="5"/>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5.2.4.3 分析检测方案</w:t>
      </w:r>
    </w:p>
    <w:p w14:paraId="26DE7EFD">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根据前期污染识别，场地涉及的特征污染物包括pH、氟化物、氯化物、石油烃（C</w:t>
      </w:r>
      <w:r>
        <w:rPr>
          <w:rFonts w:hint="default"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vertAlign w:val="subscript"/>
          <w:lang w:val="en-US" w:eastAsia="zh-CN"/>
        </w:rPr>
        <w:t>40</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1-二氯-1-氟乙烷（简称：HCFC-141b）、一氯二氟乙烷（简称：HCFC-142b）、三氯乙烷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偏</w:t>
      </w:r>
      <w:r>
        <w:rPr>
          <w:rFonts w:hint="eastAsia" w:cs="Times New Roman"/>
          <w:color w:val="auto"/>
          <w:sz w:val="24"/>
          <w:highlight w:val="none"/>
          <w:lang w:val="en-US" w:eastAsia="zh-CN"/>
        </w:rPr>
        <w:t>二</w:t>
      </w:r>
      <w:r>
        <w:rPr>
          <w:rFonts w:hint="default" w:ascii="Times New Roman" w:hAnsi="Times New Roman" w:eastAsia="宋体" w:cs="Times New Roman"/>
          <w:color w:val="auto"/>
          <w:sz w:val="24"/>
          <w:highlight w:val="none"/>
          <w:lang w:val="en-US" w:eastAsia="zh-CN"/>
        </w:rPr>
        <w:t>氯乙烯（1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1-二氯乙烯），对照《土壤环境质量 建设用地土壤污染风险管控标准（试行）》</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w:t>
      </w:r>
      <w:r>
        <w:rPr>
          <w:rFonts w:hint="eastAsia"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36600—2018</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中的基本项目和其他项目、《地下水质量标准》（GB/T14848-2017）常规项目和其他项目，最终确定：</w:t>
      </w:r>
    </w:p>
    <w:p w14:paraId="5C2F25ED">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土壤检测项目为《土壤环境质量 建设用地土壤污染风险管控标准（试行）》（GB36600—2018）中的45项基本检测项目及pH、氟化物、氯化物、石油烃（C</w:t>
      </w:r>
      <w:r>
        <w:rPr>
          <w:rFonts w:hint="default"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vertAlign w:val="subscript"/>
          <w:lang w:val="en-US" w:eastAsia="zh-CN"/>
        </w:rPr>
        <w:t>40</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1-二氯-1-氟乙烷（简称：HCFC-141b）、一氯二氟乙烷（简称：HCFC-142b）、三氯乙烷。</w:t>
      </w:r>
    </w:p>
    <w:p w14:paraId="0FD5BF0F">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地下水检测项目为《地下水质量标准》（GB/T14848-2017）的37项常规项（排除放射性指标）外加石油类、1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1-二氯-1-氟乙烷（简称：HCFC-141b）、一氯二氟乙烷（简称：HCFC-142b）、偏</w:t>
      </w:r>
      <w:r>
        <w:rPr>
          <w:rFonts w:hint="eastAsia" w:cs="Times New Roman"/>
          <w:color w:val="auto"/>
          <w:sz w:val="24"/>
          <w:highlight w:val="none"/>
          <w:lang w:val="en-US" w:eastAsia="zh-CN"/>
        </w:rPr>
        <w:t>二</w:t>
      </w:r>
      <w:r>
        <w:rPr>
          <w:rFonts w:hint="default" w:ascii="Times New Roman" w:hAnsi="Times New Roman" w:eastAsia="宋体" w:cs="Times New Roman"/>
          <w:color w:val="auto"/>
          <w:sz w:val="24"/>
          <w:highlight w:val="none"/>
          <w:lang w:val="en-US" w:eastAsia="zh-CN"/>
        </w:rPr>
        <w:t>氯乙烯（1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1-二氯乙烯）、三氯乙烷。</w:t>
      </w:r>
    </w:p>
    <w:p w14:paraId="5062E301">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土壤及地下水检测项目一览表如下。</w:t>
      </w:r>
    </w:p>
    <w:p w14:paraId="5F43AD8C">
      <w:pPr>
        <w:pStyle w:val="4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 5.2-</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检测项目</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6917"/>
      </w:tblGrid>
      <w:tr w14:paraId="7933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2" w:type="dxa"/>
            <w:shd w:val="clear" w:color="auto" w:fill="FFFFFF"/>
            <w:vAlign w:val="center"/>
          </w:tcPr>
          <w:p w14:paraId="0CA89A57">
            <w:pPr>
              <w:pStyle w:val="45"/>
              <w:bidi w:val="0"/>
              <w:ind w:firstLine="0" w:firstLineChars="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highlight w:val="none"/>
              </w:rPr>
              <w:t>样品类型</w:t>
            </w:r>
          </w:p>
        </w:tc>
        <w:tc>
          <w:tcPr>
            <w:tcW w:w="6917" w:type="dxa"/>
            <w:shd w:val="clear" w:color="auto" w:fill="FFFFFF"/>
            <w:vAlign w:val="center"/>
          </w:tcPr>
          <w:p w14:paraId="3286E08E">
            <w:pPr>
              <w:pStyle w:val="45"/>
              <w:bidi w:val="0"/>
              <w:ind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highlight w:val="none"/>
                <w:lang w:val="en-US" w:eastAsia="zh-CN"/>
              </w:rPr>
              <w:t>检测项目</w:t>
            </w:r>
          </w:p>
        </w:tc>
      </w:tr>
      <w:tr w14:paraId="6DF0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1602" w:type="dxa"/>
            <w:shd w:val="clear" w:color="auto" w:fill="FFFFFF"/>
            <w:vAlign w:val="center"/>
          </w:tcPr>
          <w:p w14:paraId="20D2BA0E">
            <w:pPr>
              <w:pStyle w:val="45"/>
              <w:bidi w:val="0"/>
              <w:ind w:firstLine="0" w:firstLineChars="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highlight w:val="none"/>
              </w:rPr>
              <w:t>土壤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52项</w:t>
            </w:r>
            <w:r>
              <w:rPr>
                <w:rFonts w:hint="default" w:ascii="Times New Roman" w:hAnsi="Times New Roman" w:cs="Times New Roman"/>
                <w:color w:val="auto"/>
                <w:highlight w:val="none"/>
                <w:lang w:eastAsia="zh-CN"/>
              </w:rPr>
              <w:t>）</w:t>
            </w:r>
          </w:p>
        </w:tc>
        <w:tc>
          <w:tcPr>
            <w:tcW w:w="6917" w:type="dxa"/>
            <w:shd w:val="clear" w:color="auto" w:fill="FFFFFF"/>
            <w:vAlign w:val="center"/>
          </w:tcPr>
          <w:p w14:paraId="2D596B1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砷、镉、六价铬、铜、铅、汞、镍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四氯化碳、氯仿、氯甲烷、1</w:t>
            </w:r>
            <w:r>
              <w:rPr>
                <w:rFonts w:hint="eastAsia" w:cs="Times New Roman"/>
                <w:color w:val="auto"/>
                <w:highlight w:val="none"/>
                <w:lang w:eastAsia="zh-CN"/>
              </w:rPr>
              <w:t>，</w:t>
            </w:r>
            <w:r>
              <w:rPr>
                <w:rFonts w:hint="default" w:ascii="Times New Roman" w:hAnsi="Times New Roman" w:cs="Times New Roman"/>
                <w:color w:val="auto"/>
                <w:highlight w:val="none"/>
              </w:rPr>
              <w:t>1-二氯乙烷、1</w:t>
            </w:r>
            <w:r>
              <w:rPr>
                <w:rFonts w:hint="eastAsia" w:cs="Times New Roman"/>
                <w:color w:val="auto"/>
                <w:highlight w:val="none"/>
                <w:lang w:eastAsia="zh-CN"/>
              </w:rPr>
              <w:t>，</w:t>
            </w:r>
            <w:r>
              <w:rPr>
                <w:rFonts w:hint="default" w:ascii="Times New Roman" w:hAnsi="Times New Roman" w:cs="Times New Roman"/>
                <w:color w:val="auto"/>
                <w:highlight w:val="none"/>
              </w:rPr>
              <w:t>2-二氯乙烷、1</w:t>
            </w:r>
            <w:r>
              <w:rPr>
                <w:rFonts w:hint="eastAsia" w:cs="Times New Roman"/>
                <w:color w:val="auto"/>
                <w:highlight w:val="none"/>
                <w:lang w:eastAsia="zh-CN"/>
              </w:rPr>
              <w:t>，</w:t>
            </w:r>
            <w:r>
              <w:rPr>
                <w:rFonts w:hint="default" w:ascii="Times New Roman" w:hAnsi="Times New Roman" w:cs="Times New Roman"/>
                <w:color w:val="auto"/>
                <w:highlight w:val="none"/>
              </w:rPr>
              <w:t>1-二氯乙烯、顺-1</w:t>
            </w:r>
            <w:r>
              <w:rPr>
                <w:rFonts w:hint="eastAsia" w:cs="Times New Roman"/>
                <w:color w:val="auto"/>
                <w:highlight w:val="none"/>
                <w:lang w:eastAsia="zh-CN"/>
              </w:rPr>
              <w:t>，</w:t>
            </w:r>
            <w:r>
              <w:rPr>
                <w:rFonts w:hint="default" w:ascii="Times New Roman" w:hAnsi="Times New Roman" w:cs="Times New Roman"/>
                <w:color w:val="auto"/>
                <w:highlight w:val="none"/>
              </w:rPr>
              <w:t>2-二氯乙烯、反-1</w:t>
            </w:r>
            <w:r>
              <w:rPr>
                <w:rFonts w:hint="eastAsia" w:cs="Times New Roman"/>
                <w:color w:val="auto"/>
                <w:highlight w:val="none"/>
                <w:lang w:eastAsia="zh-CN"/>
              </w:rPr>
              <w:t>，</w:t>
            </w:r>
            <w:r>
              <w:rPr>
                <w:rFonts w:hint="default" w:ascii="Times New Roman" w:hAnsi="Times New Roman" w:cs="Times New Roman"/>
                <w:color w:val="auto"/>
                <w:highlight w:val="none"/>
              </w:rPr>
              <w:t>2-二氯乙烯、二氯甲烷、1</w:t>
            </w:r>
            <w:r>
              <w:rPr>
                <w:rFonts w:hint="eastAsia" w:cs="Times New Roman"/>
                <w:color w:val="auto"/>
                <w:highlight w:val="none"/>
                <w:lang w:eastAsia="zh-CN"/>
              </w:rPr>
              <w:t>，</w:t>
            </w:r>
            <w:r>
              <w:rPr>
                <w:rFonts w:hint="default" w:ascii="Times New Roman" w:hAnsi="Times New Roman" w:cs="Times New Roman"/>
                <w:color w:val="auto"/>
                <w:highlight w:val="none"/>
              </w:rPr>
              <w:t>2-二氯丙烷、1</w:t>
            </w:r>
            <w:r>
              <w:rPr>
                <w:rFonts w:hint="eastAsia" w:cs="Times New Roman"/>
                <w:color w:val="auto"/>
                <w:highlight w:val="none"/>
                <w:lang w:eastAsia="zh-CN"/>
              </w:rPr>
              <w:t>，</w:t>
            </w:r>
            <w:r>
              <w:rPr>
                <w:rFonts w:hint="default" w:ascii="Times New Roman" w:hAnsi="Times New Roman" w:cs="Times New Roman"/>
                <w:color w:val="auto"/>
                <w:highlight w:val="none"/>
              </w:rPr>
              <w:t>1</w:t>
            </w:r>
            <w:r>
              <w:rPr>
                <w:rFonts w:hint="eastAsia" w:cs="Times New Roman"/>
                <w:color w:val="auto"/>
                <w:highlight w:val="none"/>
                <w:lang w:eastAsia="zh-CN"/>
              </w:rPr>
              <w:t>，</w:t>
            </w:r>
            <w:r>
              <w:rPr>
                <w:rFonts w:hint="default" w:ascii="Times New Roman" w:hAnsi="Times New Roman" w:cs="Times New Roman"/>
                <w:color w:val="auto"/>
                <w:highlight w:val="none"/>
              </w:rPr>
              <w:t>1</w:t>
            </w:r>
            <w:r>
              <w:rPr>
                <w:rFonts w:hint="eastAsia" w:cs="Times New Roman"/>
                <w:color w:val="auto"/>
                <w:highlight w:val="none"/>
                <w:lang w:eastAsia="zh-CN"/>
              </w:rPr>
              <w:t>，</w:t>
            </w:r>
            <w:r>
              <w:rPr>
                <w:rFonts w:hint="default" w:ascii="Times New Roman" w:hAnsi="Times New Roman" w:cs="Times New Roman"/>
                <w:color w:val="auto"/>
                <w:highlight w:val="none"/>
              </w:rPr>
              <w:t>2-四氯乙烷、1</w:t>
            </w:r>
            <w:r>
              <w:rPr>
                <w:rFonts w:hint="eastAsia" w:cs="Times New Roman"/>
                <w:color w:val="auto"/>
                <w:highlight w:val="none"/>
                <w:lang w:eastAsia="zh-CN"/>
              </w:rPr>
              <w:t>，</w:t>
            </w:r>
            <w:r>
              <w:rPr>
                <w:rFonts w:hint="default" w:ascii="Times New Roman" w:hAnsi="Times New Roman" w:cs="Times New Roman"/>
                <w:color w:val="auto"/>
                <w:highlight w:val="none"/>
              </w:rPr>
              <w:t>1</w:t>
            </w:r>
            <w:r>
              <w:rPr>
                <w:rFonts w:hint="eastAsia" w:cs="Times New Roman"/>
                <w:color w:val="auto"/>
                <w:highlight w:val="none"/>
                <w:lang w:eastAsia="zh-CN"/>
              </w:rPr>
              <w:t>，</w:t>
            </w:r>
            <w:r>
              <w:rPr>
                <w:rFonts w:hint="default" w:ascii="Times New Roman" w:hAnsi="Times New Roman" w:cs="Times New Roman"/>
                <w:color w:val="auto"/>
                <w:highlight w:val="none"/>
              </w:rPr>
              <w:t>2</w:t>
            </w:r>
            <w:r>
              <w:rPr>
                <w:rFonts w:hint="eastAsia" w:cs="Times New Roman"/>
                <w:color w:val="auto"/>
                <w:highlight w:val="none"/>
                <w:lang w:eastAsia="zh-CN"/>
              </w:rPr>
              <w:t>，</w:t>
            </w:r>
            <w:r>
              <w:rPr>
                <w:rFonts w:hint="default" w:ascii="Times New Roman" w:hAnsi="Times New Roman" w:cs="Times New Roman"/>
                <w:color w:val="auto"/>
                <w:highlight w:val="none"/>
              </w:rPr>
              <w:t>2-四氯乙烷、四氯乙烯、1</w:t>
            </w:r>
            <w:r>
              <w:rPr>
                <w:rFonts w:hint="eastAsia" w:cs="Times New Roman"/>
                <w:color w:val="auto"/>
                <w:highlight w:val="none"/>
                <w:lang w:eastAsia="zh-CN"/>
              </w:rPr>
              <w:t>，</w:t>
            </w:r>
            <w:r>
              <w:rPr>
                <w:rFonts w:hint="default" w:ascii="Times New Roman" w:hAnsi="Times New Roman" w:cs="Times New Roman"/>
                <w:color w:val="auto"/>
                <w:highlight w:val="none"/>
              </w:rPr>
              <w:t>1</w:t>
            </w:r>
            <w:r>
              <w:rPr>
                <w:rFonts w:hint="eastAsia" w:cs="Times New Roman"/>
                <w:color w:val="auto"/>
                <w:highlight w:val="none"/>
                <w:lang w:eastAsia="zh-CN"/>
              </w:rPr>
              <w:t>，</w:t>
            </w:r>
            <w:r>
              <w:rPr>
                <w:rFonts w:hint="default" w:ascii="Times New Roman" w:hAnsi="Times New Roman" w:cs="Times New Roman"/>
                <w:color w:val="auto"/>
                <w:highlight w:val="none"/>
              </w:rPr>
              <w:t>1-三氯乙烷、1</w:t>
            </w:r>
            <w:r>
              <w:rPr>
                <w:rFonts w:hint="eastAsia" w:cs="Times New Roman"/>
                <w:color w:val="auto"/>
                <w:highlight w:val="none"/>
                <w:lang w:eastAsia="zh-CN"/>
              </w:rPr>
              <w:t>，</w:t>
            </w:r>
            <w:r>
              <w:rPr>
                <w:rFonts w:hint="default" w:ascii="Times New Roman" w:hAnsi="Times New Roman" w:cs="Times New Roman"/>
                <w:color w:val="auto"/>
                <w:highlight w:val="none"/>
              </w:rPr>
              <w:t>1</w:t>
            </w:r>
            <w:r>
              <w:rPr>
                <w:rFonts w:hint="eastAsia" w:cs="Times New Roman"/>
                <w:color w:val="auto"/>
                <w:highlight w:val="none"/>
                <w:lang w:eastAsia="zh-CN"/>
              </w:rPr>
              <w:t>，</w:t>
            </w:r>
            <w:r>
              <w:rPr>
                <w:rFonts w:hint="default" w:ascii="Times New Roman" w:hAnsi="Times New Roman" w:cs="Times New Roman"/>
                <w:color w:val="auto"/>
                <w:highlight w:val="none"/>
              </w:rPr>
              <w:t>2-三氯乙烷、三氯乙烯、1</w:t>
            </w:r>
            <w:r>
              <w:rPr>
                <w:rFonts w:hint="eastAsia" w:cs="Times New Roman"/>
                <w:color w:val="auto"/>
                <w:highlight w:val="none"/>
                <w:lang w:eastAsia="zh-CN"/>
              </w:rPr>
              <w:t>，</w:t>
            </w:r>
            <w:r>
              <w:rPr>
                <w:rFonts w:hint="default" w:ascii="Times New Roman" w:hAnsi="Times New Roman" w:cs="Times New Roman"/>
                <w:color w:val="auto"/>
                <w:highlight w:val="none"/>
              </w:rPr>
              <w:t>2</w:t>
            </w:r>
            <w:r>
              <w:rPr>
                <w:rFonts w:hint="eastAsia" w:cs="Times New Roman"/>
                <w:color w:val="auto"/>
                <w:highlight w:val="none"/>
                <w:lang w:eastAsia="zh-CN"/>
              </w:rPr>
              <w:t>，</w:t>
            </w:r>
            <w:r>
              <w:rPr>
                <w:rFonts w:hint="default" w:ascii="Times New Roman" w:hAnsi="Times New Roman" w:cs="Times New Roman"/>
                <w:color w:val="auto"/>
                <w:highlight w:val="none"/>
              </w:rPr>
              <w:t>3-三氯丙烷、氯乙烯、苯、氯苯、1</w:t>
            </w:r>
            <w:r>
              <w:rPr>
                <w:rFonts w:hint="eastAsia" w:cs="Times New Roman"/>
                <w:color w:val="auto"/>
                <w:highlight w:val="none"/>
                <w:lang w:eastAsia="zh-CN"/>
              </w:rPr>
              <w:t>，</w:t>
            </w:r>
            <w:r>
              <w:rPr>
                <w:rFonts w:hint="default" w:ascii="Times New Roman" w:hAnsi="Times New Roman" w:cs="Times New Roman"/>
                <w:color w:val="auto"/>
                <w:highlight w:val="none"/>
              </w:rPr>
              <w:t>2-二氯苯、1</w:t>
            </w:r>
            <w:r>
              <w:rPr>
                <w:rFonts w:hint="eastAsia" w:cs="Times New Roman"/>
                <w:color w:val="auto"/>
                <w:highlight w:val="none"/>
                <w:lang w:eastAsia="zh-CN"/>
              </w:rPr>
              <w:t>，</w:t>
            </w:r>
            <w:r>
              <w:rPr>
                <w:rFonts w:hint="default" w:ascii="Times New Roman" w:hAnsi="Times New Roman" w:cs="Times New Roman"/>
                <w:color w:val="auto"/>
                <w:highlight w:val="none"/>
              </w:rPr>
              <w:t>4-二氯苯、乙苯、苯乙烯、甲苯、间二甲苯+对二甲苯、邻二甲苯</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硝基苯、苯胺、2-氯酚、苯并[a]蒽、苯并[a]芘、苯并[b]荧蒽、苯并[k]荧蒽、䓛、二苯并[a</w:t>
            </w:r>
            <w:r>
              <w:rPr>
                <w:rFonts w:hint="eastAsia" w:cs="Times New Roman"/>
                <w:color w:val="auto"/>
                <w:highlight w:val="none"/>
                <w:lang w:eastAsia="zh-CN"/>
              </w:rPr>
              <w:t>，</w:t>
            </w:r>
            <w:r>
              <w:rPr>
                <w:rFonts w:hint="default" w:ascii="Times New Roman" w:hAnsi="Times New Roman" w:cs="Times New Roman"/>
                <w:color w:val="auto"/>
                <w:highlight w:val="none"/>
              </w:rPr>
              <w:t xml:space="preserve"> h]蒽、茚并[1</w:t>
            </w:r>
            <w:r>
              <w:rPr>
                <w:rFonts w:hint="eastAsia" w:cs="Times New Roman"/>
                <w:color w:val="auto"/>
                <w:highlight w:val="none"/>
                <w:lang w:eastAsia="zh-CN"/>
              </w:rPr>
              <w:t>，</w:t>
            </w:r>
            <w:r>
              <w:rPr>
                <w:rFonts w:hint="default" w:ascii="Times New Roman" w:hAnsi="Times New Roman" w:cs="Times New Roman"/>
                <w:color w:val="auto"/>
                <w:highlight w:val="none"/>
              </w:rPr>
              <w:t>2</w:t>
            </w:r>
            <w:r>
              <w:rPr>
                <w:rFonts w:hint="eastAsia" w:cs="Times New Roman"/>
                <w:color w:val="auto"/>
                <w:highlight w:val="none"/>
                <w:lang w:eastAsia="zh-CN"/>
              </w:rPr>
              <w:t>，</w:t>
            </w:r>
            <w:r>
              <w:rPr>
                <w:rFonts w:hint="default" w:ascii="Times New Roman" w:hAnsi="Times New Roman" w:cs="Times New Roman"/>
                <w:color w:val="auto"/>
                <w:highlight w:val="none"/>
              </w:rPr>
              <w:t>3-cd]芘、萘</w:t>
            </w:r>
          </w:p>
          <w:p w14:paraId="46AD9B2A">
            <w:pPr>
              <w:pStyle w:val="45"/>
              <w:bidi w:val="0"/>
              <w:ind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pH、氟化物、氯化物、石油烃（C10-C40）、</w:t>
            </w:r>
            <w:r>
              <w:rPr>
                <w:rFonts w:hint="default" w:ascii="Times New Roman" w:hAnsi="Times New Roman" w:cs="Times New Roman"/>
                <w:color w:val="auto"/>
                <w:highlight w:val="none"/>
              </w:rPr>
              <w:t>1</w:t>
            </w:r>
            <w:r>
              <w:rPr>
                <w:rFonts w:hint="eastAsia" w:cs="Times New Roman"/>
                <w:color w:val="auto"/>
                <w:highlight w:val="none"/>
                <w:lang w:eastAsia="zh-CN"/>
              </w:rPr>
              <w:t>，</w:t>
            </w:r>
            <w:r>
              <w:rPr>
                <w:rFonts w:hint="default" w:ascii="Times New Roman" w:hAnsi="Times New Roman" w:cs="Times New Roman"/>
                <w:color w:val="auto"/>
                <w:highlight w:val="none"/>
              </w:rPr>
              <w:t>1-二氯-1-氟乙烷（简称：HCFC-141b）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一氯二氟乙烷（简称：HCFC-142b）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三氯乙烷</w:t>
            </w:r>
          </w:p>
        </w:tc>
      </w:tr>
      <w:tr w14:paraId="7528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2" w:type="dxa"/>
            <w:shd w:val="clear" w:color="auto" w:fill="FFFFFF"/>
            <w:vAlign w:val="center"/>
          </w:tcPr>
          <w:p w14:paraId="0AAEC7EA">
            <w:pPr>
              <w:pStyle w:val="45"/>
              <w:bidi w:val="0"/>
              <w:ind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highlight w:val="none"/>
              </w:rPr>
              <w:t>地下水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42项</w:t>
            </w:r>
            <w:r>
              <w:rPr>
                <w:rFonts w:hint="default" w:ascii="Times New Roman" w:hAnsi="Times New Roman" w:cs="Times New Roman"/>
                <w:color w:val="auto"/>
                <w:highlight w:val="none"/>
                <w:lang w:eastAsia="zh-CN"/>
              </w:rPr>
              <w:t>）</w:t>
            </w:r>
          </w:p>
        </w:tc>
        <w:tc>
          <w:tcPr>
            <w:tcW w:w="6917" w:type="dxa"/>
            <w:shd w:val="clear" w:color="auto" w:fill="FFFFFF"/>
            <w:vAlign w:val="center"/>
          </w:tcPr>
          <w:p w14:paraId="4ADB9FE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H、色度、臭和味、浑浊度、肉眼可见物、总硬度、溶解性总固体、硫酸盐、氯化物、铁、锰、铜、铝、锌、挥发性酚类、阴离子表面活性剂、耗氧量、氨氮、硫化物、钠、亚硝酸盐、硝酸盐、氰化物、氟化物、碘化物、汞、砷、硒、镉、铬（六价）、铅、四氯化碳、苯、甲苯、氯仿（三氯甲烷）、总大肠菌群、菌落总数</w:t>
            </w:r>
          </w:p>
          <w:p w14:paraId="078A6590">
            <w:pPr>
              <w:pStyle w:val="45"/>
              <w:bidi w:val="0"/>
              <w:ind w:firstLine="0" w:firstLineChars="0"/>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color w:val="auto"/>
                <w:highlight w:val="none"/>
                <w:lang w:val="en-US" w:eastAsia="zh-CN"/>
              </w:rPr>
              <w:t>石油类、</w:t>
            </w:r>
            <w:r>
              <w:rPr>
                <w:rFonts w:hint="default" w:ascii="Times New Roman" w:hAnsi="Times New Roman" w:cs="Times New Roman"/>
                <w:color w:val="auto"/>
                <w:highlight w:val="none"/>
              </w:rPr>
              <w:t>1</w:t>
            </w:r>
            <w:r>
              <w:rPr>
                <w:rFonts w:hint="eastAsia" w:cs="Times New Roman"/>
                <w:color w:val="auto"/>
                <w:highlight w:val="none"/>
                <w:lang w:eastAsia="zh-CN"/>
              </w:rPr>
              <w:t>，</w:t>
            </w:r>
            <w:r>
              <w:rPr>
                <w:rFonts w:hint="default" w:ascii="Times New Roman" w:hAnsi="Times New Roman" w:cs="Times New Roman"/>
                <w:color w:val="auto"/>
                <w:highlight w:val="none"/>
              </w:rPr>
              <w:t>1-二氯-1-氟乙烷（简称：HCFC-141b）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一氯二氟乙烷（简称：HCFC-142b）</w:t>
            </w:r>
            <w:r>
              <w:rPr>
                <w:rFonts w:hint="default" w:ascii="Times New Roman" w:hAnsi="Times New Roman" w:cs="Times New Roman"/>
                <w:color w:val="auto"/>
                <w:highlight w:val="none"/>
                <w:lang w:val="en-US" w:eastAsia="zh-CN"/>
              </w:rPr>
              <w:t>、偏氯乙烯（1</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1-二氯乙烯）、三氯乙烷</w:t>
            </w:r>
          </w:p>
        </w:tc>
      </w:tr>
    </w:tbl>
    <w:p w14:paraId="4A72FDDA">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根据选定的监测指标制定样品测试分析方法，方法应优先选用国家或行业标准方法。尚无国家或行业标准分析方法时，可选用行业统一分析方法或等效分析方法，但须按照HJ 168的要求进行方法确认和验证，方法检出限、测定下限、准确度和精密度应满足地下水环境监测要求。所选用分析方法的测定下限应低于规定的地下水标准限值。</w:t>
      </w:r>
    </w:p>
    <w:p w14:paraId="7CB7866A">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本次调查土壤检测项目的分析检测方法参考</w:t>
      </w:r>
      <w:r>
        <w:rPr>
          <w:rFonts w:hint="default" w:ascii="Times New Roman" w:hAnsi="Times New Roman" w:eastAsia="宋体" w:cs="Times New Roman"/>
          <w:color w:val="auto"/>
          <w:kern w:val="2"/>
          <w:sz w:val="24"/>
          <w:szCs w:val="24"/>
          <w:highlight w:val="none"/>
          <w:lang w:val="en-US" w:eastAsia="zh-CN" w:bidi="ar-SA"/>
        </w:rPr>
        <w:t>《土壤环境质量 建设用地土壤污染风险管控标准（试行）》（GB36600-2018）</w:t>
      </w:r>
      <w:r>
        <w:rPr>
          <w:rFonts w:hint="default" w:ascii="Times New Roman" w:hAnsi="Times New Roman" w:cs="Times New Roman"/>
          <w:color w:val="auto"/>
          <w:kern w:val="2"/>
          <w:sz w:val="24"/>
          <w:szCs w:val="24"/>
          <w:highlight w:val="none"/>
          <w:lang w:val="en-US" w:eastAsia="zh-CN" w:bidi="ar-SA"/>
        </w:rPr>
        <w:t>中的</w:t>
      </w:r>
      <w:r>
        <w:rPr>
          <w:rFonts w:hint="default" w:ascii="Times New Roman" w:hAnsi="Times New Roman" w:cs="Times New Roman"/>
          <w:color w:val="auto"/>
          <w:highlight w:val="none"/>
          <w:lang w:val="en-US" w:eastAsia="zh-CN"/>
        </w:rPr>
        <w:t>表3 土壤污染物分析方法，地下水检测项目的分析检测方法参考《地下水质量标准》（GB/T 14848-2017）中的附录B 地下水质量检测指标推荐分析方法。</w:t>
      </w:r>
    </w:p>
    <w:p w14:paraId="4DD8DEFF">
      <w:pPr>
        <w:pStyle w:val="5"/>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5.2.4.4 参考标准</w:t>
      </w:r>
    </w:p>
    <w:p w14:paraId="41FD2CD6">
      <w:pP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rPr>
        <w:t>本场地土壤质量评价采用《土壤环境质量 建设用地土壤污染风险管控标准（试行）》（GB</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36600-2018）</w:t>
      </w:r>
      <w:r>
        <w:rPr>
          <w:rFonts w:hint="default" w:ascii="Times New Roman" w:hAnsi="Times New Roman" w:eastAsia="宋体" w:cs="Times New Roman"/>
          <w:color w:val="auto"/>
          <w:highlight w:val="none"/>
          <w:lang w:val="en-US" w:eastAsia="zh-CN"/>
        </w:rPr>
        <w:t>中</w:t>
      </w:r>
      <w:r>
        <w:rPr>
          <w:rFonts w:hint="default" w:ascii="Times New Roman" w:hAnsi="Times New Roman" w:eastAsia="宋体" w:cs="Times New Roman"/>
          <w:color w:val="auto"/>
          <w:highlight w:val="none"/>
        </w:rPr>
        <w:t>第二类用地风险筛选值进行评价。</w:t>
      </w:r>
      <w:r>
        <w:rPr>
          <w:rFonts w:hint="default" w:ascii="Times New Roman" w:hAnsi="Times New Roman" w:eastAsia="宋体" w:cs="Times New Roman"/>
          <w:color w:val="auto"/>
          <w:highlight w:val="none"/>
          <w:lang w:val="en-US" w:eastAsia="zh-CN"/>
        </w:rPr>
        <w:t>氟化物参考</w:t>
      </w:r>
      <w:r>
        <w:rPr>
          <w:rFonts w:hint="default" w:ascii="Times New Roman" w:hAnsi="Times New Roman" w:cs="Times New Roman"/>
          <w:color w:val="auto"/>
          <w:highlight w:val="none"/>
          <w:lang w:val="en-US" w:eastAsia="zh-CN"/>
        </w:rPr>
        <w:t>江苏省</w:t>
      </w:r>
      <w:r>
        <w:rPr>
          <w:rFonts w:hint="default" w:ascii="Times New Roman" w:hAnsi="Times New Roman" w:eastAsia="宋体" w:cs="Times New Roman"/>
          <w:color w:val="auto"/>
          <w:highlight w:val="none"/>
          <w:lang w:val="en-US" w:eastAsia="zh-CN"/>
        </w:rPr>
        <w:t>地方标准</w:t>
      </w:r>
      <w:r>
        <w:rPr>
          <w:rFonts w:hint="default" w:ascii="Times New Roman" w:hAnsi="Times New Roman" w:eastAsia="宋体" w:cs="Times New Roman"/>
          <w:color w:val="auto"/>
          <w:highlight w:val="none"/>
        </w:rPr>
        <w:t>《建设用地土壤污染风险筛选值》（DB32/T 4712-2024</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地下水</w:t>
      </w:r>
      <w:r>
        <w:rPr>
          <w:rFonts w:hint="default" w:ascii="Times New Roman" w:hAnsi="Times New Roman" w:eastAsia="宋体" w:cs="Times New Roman"/>
          <w:color w:val="auto"/>
          <w:highlight w:val="none"/>
        </w:rPr>
        <w:t>质量评价采用</w:t>
      </w:r>
      <w:r>
        <w:rPr>
          <w:rFonts w:hint="default" w:ascii="Times New Roman" w:hAnsi="Times New Roman" w:cs="Times New Roman"/>
          <w:color w:val="auto"/>
          <w:highlight w:val="none"/>
          <w:lang w:val="en-US" w:eastAsia="zh-CN"/>
        </w:rPr>
        <w:t>《地下水质量标准》（GB/T 14848-2017）中</w:t>
      </w:r>
      <w:r>
        <w:rPr>
          <w:rFonts w:hint="default" w:ascii="Times New Roman" w:hAnsi="Times New Roman" w:cs="Times New Roman"/>
          <w:color w:val="auto"/>
          <w:highlight w:val="none"/>
        </w:rPr>
        <w:t>Ⅳ类用水标准限值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参考值如下。</w:t>
      </w:r>
    </w:p>
    <w:p w14:paraId="64250D1A">
      <w:pPr>
        <w:pStyle w:val="4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 5.2-</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土壤检测项目二类用地筛选值汇总</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3000"/>
        <w:gridCol w:w="2325"/>
        <w:gridCol w:w="2325"/>
      </w:tblGrid>
      <w:tr w14:paraId="5556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noWrap w:val="0"/>
            <w:vAlign w:val="center"/>
          </w:tcPr>
          <w:p w14:paraId="45BF5F8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760" w:type="pct"/>
            <w:noWrap w:val="0"/>
            <w:vAlign w:val="center"/>
          </w:tcPr>
          <w:p w14:paraId="3DD493C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检测项目</w:t>
            </w:r>
          </w:p>
        </w:tc>
        <w:tc>
          <w:tcPr>
            <w:tcW w:w="1364" w:type="pct"/>
            <w:noWrap w:val="0"/>
            <w:vAlign w:val="center"/>
          </w:tcPr>
          <w:p w14:paraId="20E1CAF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二</w:t>
            </w:r>
            <w:r>
              <w:rPr>
                <w:rFonts w:hint="default" w:ascii="Times New Roman" w:hAnsi="Times New Roman" w:eastAsia="宋体" w:cs="Times New Roman"/>
                <w:color w:val="auto"/>
                <w:kern w:val="0"/>
                <w:sz w:val="21"/>
                <w:szCs w:val="21"/>
                <w:highlight w:val="none"/>
              </w:rPr>
              <w:t>类用地筛选值</w:t>
            </w:r>
          </w:p>
          <w:p w14:paraId="63CCB1C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1364" w:type="pct"/>
            <w:noWrap w:val="0"/>
            <w:vAlign w:val="center"/>
          </w:tcPr>
          <w:p w14:paraId="18C7D1F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筛选值来源</w:t>
            </w:r>
          </w:p>
        </w:tc>
      </w:tr>
      <w:tr w14:paraId="5536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noWrap w:val="0"/>
            <w:vAlign w:val="center"/>
          </w:tcPr>
          <w:p w14:paraId="1AAB47E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760" w:type="pct"/>
            <w:noWrap w:val="0"/>
            <w:vAlign w:val="center"/>
          </w:tcPr>
          <w:p w14:paraId="56E795A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砷</w:t>
            </w:r>
          </w:p>
        </w:tc>
        <w:tc>
          <w:tcPr>
            <w:tcW w:w="1364" w:type="pct"/>
            <w:noWrap w:val="0"/>
            <w:vAlign w:val="center"/>
          </w:tcPr>
          <w:p w14:paraId="218CF78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1364" w:type="pct"/>
            <w:vMerge w:val="restart"/>
            <w:noWrap w:val="0"/>
            <w:vAlign w:val="center"/>
          </w:tcPr>
          <w:p w14:paraId="754FCF2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《土壤环境质量 建设用地土壤污染风险管控标准（试行）》（GB</w:t>
            </w:r>
            <w:r>
              <w:rPr>
                <w:rFonts w:hint="default"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36600-2018）</w:t>
            </w:r>
          </w:p>
        </w:tc>
      </w:tr>
      <w:tr w14:paraId="3B23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42C98E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760" w:type="pct"/>
            <w:noWrap w:val="0"/>
            <w:vAlign w:val="center"/>
          </w:tcPr>
          <w:p w14:paraId="322AE28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镉</w:t>
            </w:r>
          </w:p>
        </w:tc>
        <w:tc>
          <w:tcPr>
            <w:tcW w:w="1364" w:type="pct"/>
            <w:noWrap w:val="0"/>
            <w:vAlign w:val="center"/>
          </w:tcPr>
          <w:p w14:paraId="5078D25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65</w:t>
            </w:r>
          </w:p>
        </w:tc>
        <w:tc>
          <w:tcPr>
            <w:tcW w:w="1364" w:type="pct"/>
            <w:vMerge w:val="continue"/>
            <w:noWrap w:val="0"/>
            <w:vAlign w:val="center"/>
          </w:tcPr>
          <w:p w14:paraId="03FD0C1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1725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953A41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760" w:type="pct"/>
            <w:noWrap w:val="0"/>
            <w:vAlign w:val="center"/>
          </w:tcPr>
          <w:p w14:paraId="367D85C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铬（六价）</w:t>
            </w:r>
          </w:p>
        </w:tc>
        <w:tc>
          <w:tcPr>
            <w:tcW w:w="1364" w:type="pct"/>
            <w:noWrap w:val="0"/>
            <w:vAlign w:val="center"/>
          </w:tcPr>
          <w:p w14:paraId="2B3B7C7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w:t>
            </w:r>
          </w:p>
        </w:tc>
        <w:tc>
          <w:tcPr>
            <w:tcW w:w="1364" w:type="pct"/>
            <w:vMerge w:val="continue"/>
            <w:noWrap w:val="0"/>
            <w:vAlign w:val="center"/>
          </w:tcPr>
          <w:p w14:paraId="2BAB7E1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C6F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D1FC79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760" w:type="pct"/>
            <w:noWrap w:val="0"/>
            <w:vAlign w:val="center"/>
          </w:tcPr>
          <w:p w14:paraId="1763461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铜</w:t>
            </w:r>
          </w:p>
        </w:tc>
        <w:tc>
          <w:tcPr>
            <w:tcW w:w="1364" w:type="pct"/>
            <w:noWrap w:val="0"/>
            <w:vAlign w:val="center"/>
          </w:tcPr>
          <w:p w14:paraId="58D83E3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18000</w:t>
            </w:r>
          </w:p>
        </w:tc>
        <w:tc>
          <w:tcPr>
            <w:tcW w:w="1364" w:type="pct"/>
            <w:vMerge w:val="continue"/>
            <w:noWrap w:val="0"/>
            <w:vAlign w:val="center"/>
          </w:tcPr>
          <w:p w14:paraId="4A0CF3D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4A42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56715A4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760" w:type="pct"/>
            <w:noWrap w:val="0"/>
            <w:vAlign w:val="center"/>
          </w:tcPr>
          <w:p w14:paraId="053EF4E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铅</w:t>
            </w:r>
          </w:p>
        </w:tc>
        <w:tc>
          <w:tcPr>
            <w:tcW w:w="1364" w:type="pct"/>
            <w:noWrap w:val="0"/>
            <w:vAlign w:val="center"/>
          </w:tcPr>
          <w:p w14:paraId="2789F9F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800</w:t>
            </w:r>
          </w:p>
        </w:tc>
        <w:tc>
          <w:tcPr>
            <w:tcW w:w="1364" w:type="pct"/>
            <w:vMerge w:val="continue"/>
            <w:noWrap w:val="0"/>
            <w:vAlign w:val="center"/>
          </w:tcPr>
          <w:p w14:paraId="7FCE98D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3BA1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75A86D7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760" w:type="pct"/>
            <w:noWrap w:val="0"/>
            <w:vAlign w:val="center"/>
          </w:tcPr>
          <w:p w14:paraId="491F1C8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汞</w:t>
            </w:r>
          </w:p>
        </w:tc>
        <w:tc>
          <w:tcPr>
            <w:tcW w:w="1364" w:type="pct"/>
            <w:noWrap w:val="0"/>
            <w:vAlign w:val="center"/>
          </w:tcPr>
          <w:p w14:paraId="4045B70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w:t>
            </w:r>
          </w:p>
        </w:tc>
        <w:tc>
          <w:tcPr>
            <w:tcW w:w="1364" w:type="pct"/>
            <w:vMerge w:val="continue"/>
            <w:noWrap w:val="0"/>
            <w:vAlign w:val="center"/>
          </w:tcPr>
          <w:p w14:paraId="15ABA79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76E9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0A26E1D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760" w:type="pct"/>
            <w:noWrap w:val="0"/>
            <w:vAlign w:val="center"/>
          </w:tcPr>
          <w:p w14:paraId="4CDFC44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镍</w:t>
            </w:r>
          </w:p>
        </w:tc>
        <w:tc>
          <w:tcPr>
            <w:tcW w:w="1364" w:type="pct"/>
            <w:noWrap w:val="0"/>
            <w:vAlign w:val="center"/>
          </w:tcPr>
          <w:p w14:paraId="5A1A795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900</w:t>
            </w:r>
          </w:p>
        </w:tc>
        <w:tc>
          <w:tcPr>
            <w:tcW w:w="1364" w:type="pct"/>
            <w:vMerge w:val="continue"/>
            <w:noWrap w:val="0"/>
            <w:vAlign w:val="center"/>
          </w:tcPr>
          <w:p w14:paraId="18971A7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6EB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814A31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760" w:type="pct"/>
            <w:noWrap w:val="0"/>
            <w:vAlign w:val="center"/>
          </w:tcPr>
          <w:p w14:paraId="6F85BFC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四氯化碳</w:t>
            </w:r>
          </w:p>
        </w:tc>
        <w:tc>
          <w:tcPr>
            <w:tcW w:w="1364" w:type="pct"/>
            <w:noWrap w:val="0"/>
            <w:vAlign w:val="center"/>
          </w:tcPr>
          <w:p w14:paraId="5636F04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w:t>
            </w:r>
          </w:p>
        </w:tc>
        <w:tc>
          <w:tcPr>
            <w:tcW w:w="1364" w:type="pct"/>
            <w:vMerge w:val="continue"/>
            <w:noWrap w:val="0"/>
            <w:vAlign w:val="center"/>
          </w:tcPr>
          <w:p w14:paraId="3D65E30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3709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288D69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760" w:type="pct"/>
            <w:noWrap w:val="0"/>
            <w:vAlign w:val="center"/>
          </w:tcPr>
          <w:p w14:paraId="0EDE236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氯仿</w:t>
            </w:r>
          </w:p>
        </w:tc>
        <w:tc>
          <w:tcPr>
            <w:tcW w:w="1364" w:type="pct"/>
            <w:noWrap w:val="0"/>
            <w:vAlign w:val="center"/>
          </w:tcPr>
          <w:p w14:paraId="264AC93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0.9</w:t>
            </w:r>
          </w:p>
        </w:tc>
        <w:tc>
          <w:tcPr>
            <w:tcW w:w="1364" w:type="pct"/>
            <w:vMerge w:val="continue"/>
            <w:noWrap w:val="0"/>
            <w:vAlign w:val="center"/>
          </w:tcPr>
          <w:p w14:paraId="5E229D3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FC9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F3808E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760" w:type="pct"/>
            <w:noWrap w:val="0"/>
            <w:vAlign w:val="center"/>
          </w:tcPr>
          <w:p w14:paraId="0CF4DAD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氯甲烷</w:t>
            </w:r>
          </w:p>
        </w:tc>
        <w:tc>
          <w:tcPr>
            <w:tcW w:w="1364" w:type="pct"/>
            <w:noWrap w:val="0"/>
            <w:vAlign w:val="center"/>
          </w:tcPr>
          <w:p w14:paraId="5BAB335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w:t>
            </w:r>
          </w:p>
        </w:tc>
        <w:tc>
          <w:tcPr>
            <w:tcW w:w="1364" w:type="pct"/>
            <w:vMerge w:val="continue"/>
            <w:noWrap w:val="0"/>
            <w:vAlign w:val="center"/>
          </w:tcPr>
          <w:p w14:paraId="26BBA2A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1383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5EBC4A1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760" w:type="pct"/>
            <w:noWrap w:val="0"/>
            <w:vAlign w:val="center"/>
          </w:tcPr>
          <w:p w14:paraId="4CC8F43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1-二氯乙烷</w:t>
            </w:r>
          </w:p>
        </w:tc>
        <w:tc>
          <w:tcPr>
            <w:tcW w:w="1364" w:type="pct"/>
            <w:noWrap w:val="0"/>
            <w:vAlign w:val="center"/>
          </w:tcPr>
          <w:p w14:paraId="4663B79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w:t>
            </w:r>
          </w:p>
        </w:tc>
        <w:tc>
          <w:tcPr>
            <w:tcW w:w="1364" w:type="pct"/>
            <w:vMerge w:val="continue"/>
            <w:noWrap w:val="0"/>
            <w:vAlign w:val="center"/>
          </w:tcPr>
          <w:p w14:paraId="72C5FD5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6F99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544483B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1760" w:type="pct"/>
            <w:noWrap w:val="0"/>
            <w:vAlign w:val="center"/>
          </w:tcPr>
          <w:p w14:paraId="687CC2E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2-二氯乙烷</w:t>
            </w:r>
          </w:p>
        </w:tc>
        <w:tc>
          <w:tcPr>
            <w:tcW w:w="1364" w:type="pct"/>
            <w:noWrap w:val="0"/>
            <w:vAlign w:val="center"/>
          </w:tcPr>
          <w:p w14:paraId="5B8E139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364" w:type="pct"/>
            <w:vMerge w:val="continue"/>
            <w:noWrap w:val="0"/>
            <w:vAlign w:val="center"/>
          </w:tcPr>
          <w:p w14:paraId="49F99F7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717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69A0A99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1760" w:type="pct"/>
            <w:noWrap w:val="0"/>
            <w:vAlign w:val="center"/>
          </w:tcPr>
          <w:p w14:paraId="157A23E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1-二氯乙烯</w:t>
            </w:r>
          </w:p>
        </w:tc>
        <w:tc>
          <w:tcPr>
            <w:tcW w:w="1364" w:type="pct"/>
            <w:noWrap w:val="0"/>
            <w:vAlign w:val="center"/>
          </w:tcPr>
          <w:p w14:paraId="44F82AA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66</w:t>
            </w:r>
          </w:p>
        </w:tc>
        <w:tc>
          <w:tcPr>
            <w:tcW w:w="1364" w:type="pct"/>
            <w:vMerge w:val="continue"/>
            <w:noWrap w:val="0"/>
            <w:vAlign w:val="center"/>
          </w:tcPr>
          <w:p w14:paraId="61BAE7D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5446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39D15A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1760" w:type="pct"/>
            <w:noWrap w:val="0"/>
            <w:vAlign w:val="center"/>
          </w:tcPr>
          <w:p w14:paraId="44F1F7F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顺-1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2-二氯乙烯</w:t>
            </w:r>
          </w:p>
        </w:tc>
        <w:tc>
          <w:tcPr>
            <w:tcW w:w="1364" w:type="pct"/>
            <w:noWrap w:val="0"/>
            <w:vAlign w:val="center"/>
          </w:tcPr>
          <w:p w14:paraId="3CDC0DF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596</w:t>
            </w:r>
          </w:p>
        </w:tc>
        <w:tc>
          <w:tcPr>
            <w:tcW w:w="1364" w:type="pct"/>
            <w:vMerge w:val="continue"/>
            <w:noWrap w:val="0"/>
            <w:vAlign w:val="center"/>
          </w:tcPr>
          <w:p w14:paraId="7F3BEF8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7D31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2654D1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760" w:type="pct"/>
            <w:noWrap w:val="0"/>
            <w:vAlign w:val="center"/>
          </w:tcPr>
          <w:p w14:paraId="4A97668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反-1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2-二氯乙烯</w:t>
            </w:r>
          </w:p>
        </w:tc>
        <w:tc>
          <w:tcPr>
            <w:tcW w:w="1364" w:type="pct"/>
            <w:noWrap w:val="0"/>
            <w:vAlign w:val="center"/>
          </w:tcPr>
          <w:p w14:paraId="37BB000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w:t>
            </w:r>
          </w:p>
        </w:tc>
        <w:tc>
          <w:tcPr>
            <w:tcW w:w="1364" w:type="pct"/>
            <w:vMerge w:val="continue"/>
            <w:noWrap w:val="0"/>
            <w:vAlign w:val="center"/>
          </w:tcPr>
          <w:p w14:paraId="34605D3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3074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91C5E3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1760" w:type="pct"/>
            <w:noWrap w:val="0"/>
            <w:vAlign w:val="center"/>
          </w:tcPr>
          <w:p w14:paraId="13CE77E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二氯甲烷</w:t>
            </w:r>
          </w:p>
        </w:tc>
        <w:tc>
          <w:tcPr>
            <w:tcW w:w="1364" w:type="pct"/>
            <w:noWrap w:val="0"/>
            <w:vAlign w:val="center"/>
          </w:tcPr>
          <w:p w14:paraId="180BD6F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616</w:t>
            </w:r>
          </w:p>
        </w:tc>
        <w:tc>
          <w:tcPr>
            <w:tcW w:w="1364" w:type="pct"/>
            <w:vMerge w:val="continue"/>
            <w:noWrap w:val="0"/>
            <w:vAlign w:val="center"/>
          </w:tcPr>
          <w:p w14:paraId="4666889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0F75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49BB352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1760" w:type="pct"/>
            <w:noWrap w:val="0"/>
            <w:vAlign w:val="center"/>
          </w:tcPr>
          <w:p w14:paraId="6183D74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2-二氯丙烷</w:t>
            </w:r>
          </w:p>
        </w:tc>
        <w:tc>
          <w:tcPr>
            <w:tcW w:w="1364" w:type="pct"/>
            <w:noWrap w:val="0"/>
            <w:vAlign w:val="center"/>
          </w:tcPr>
          <w:p w14:paraId="393F76B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364" w:type="pct"/>
            <w:vMerge w:val="continue"/>
            <w:noWrap w:val="0"/>
            <w:vAlign w:val="center"/>
          </w:tcPr>
          <w:p w14:paraId="35BA0FA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6E80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503E832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1760" w:type="pct"/>
            <w:noWrap w:val="0"/>
            <w:vAlign w:val="center"/>
          </w:tcPr>
          <w:p w14:paraId="6D80761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2-四氯乙烷</w:t>
            </w:r>
          </w:p>
        </w:tc>
        <w:tc>
          <w:tcPr>
            <w:tcW w:w="1364" w:type="pct"/>
            <w:noWrap w:val="0"/>
            <w:vAlign w:val="center"/>
          </w:tcPr>
          <w:p w14:paraId="1AE1D55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1364" w:type="pct"/>
            <w:vMerge w:val="continue"/>
            <w:noWrap w:val="0"/>
            <w:vAlign w:val="center"/>
          </w:tcPr>
          <w:p w14:paraId="0C92364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07AB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132CA64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1760" w:type="pct"/>
            <w:noWrap w:val="0"/>
            <w:vAlign w:val="center"/>
          </w:tcPr>
          <w:p w14:paraId="2378E86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2-四氯乙烷</w:t>
            </w:r>
          </w:p>
        </w:tc>
        <w:tc>
          <w:tcPr>
            <w:tcW w:w="1364" w:type="pct"/>
            <w:noWrap w:val="0"/>
            <w:vAlign w:val="center"/>
          </w:tcPr>
          <w:p w14:paraId="4555748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6.8</w:t>
            </w:r>
          </w:p>
        </w:tc>
        <w:tc>
          <w:tcPr>
            <w:tcW w:w="1364" w:type="pct"/>
            <w:vMerge w:val="continue"/>
            <w:noWrap w:val="0"/>
            <w:vAlign w:val="center"/>
          </w:tcPr>
          <w:p w14:paraId="08F1461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6000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98D198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1760" w:type="pct"/>
            <w:noWrap w:val="0"/>
            <w:vAlign w:val="center"/>
          </w:tcPr>
          <w:p w14:paraId="686B653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四氯乙烯</w:t>
            </w:r>
          </w:p>
        </w:tc>
        <w:tc>
          <w:tcPr>
            <w:tcW w:w="1364" w:type="pct"/>
            <w:noWrap w:val="0"/>
            <w:vAlign w:val="center"/>
          </w:tcPr>
          <w:p w14:paraId="2F06BD3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w:t>
            </w:r>
          </w:p>
        </w:tc>
        <w:tc>
          <w:tcPr>
            <w:tcW w:w="1364" w:type="pct"/>
            <w:vMerge w:val="continue"/>
            <w:noWrap w:val="0"/>
            <w:vAlign w:val="center"/>
          </w:tcPr>
          <w:p w14:paraId="17DB241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6CED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1A607C1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w:t>
            </w:r>
          </w:p>
        </w:tc>
        <w:tc>
          <w:tcPr>
            <w:tcW w:w="1760" w:type="pct"/>
            <w:noWrap w:val="0"/>
            <w:vAlign w:val="center"/>
          </w:tcPr>
          <w:p w14:paraId="11B66F4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1-三氯乙烷</w:t>
            </w:r>
          </w:p>
        </w:tc>
        <w:tc>
          <w:tcPr>
            <w:tcW w:w="1364" w:type="pct"/>
            <w:noWrap w:val="0"/>
            <w:vAlign w:val="center"/>
          </w:tcPr>
          <w:p w14:paraId="0F91675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840</w:t>
            </w:r>
          </w:p>
        </w:tc>
        <w:tc>
          <w:tcPr>
            <w:tcW w:w="1364" w:type="pct"/>
            <w:vMerge w:val="continue"/>
            <w:noWrap w:val="0"/>
            <w:vAlign w:val="center"/>
          </w:tcPr>
          <w:p w14:paraId="64DE28F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8D0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42699B8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w:t>
            </w:r>
          </w:p>
        </w:tc>
        <w:tc>
          <w:tcPr>
            <w:tcW w:w="1760" w:type="pct"/>
            <w:noWrap w:val="0"/>
            <w:vAlign w:val="center"/>
          </w:tcPr>
          <w:p w14:paraId="3F58E92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2-三氯乙烷</w:t>
            </w:r>
          </w:p>
        </w:tc>
        <w:tc>
          <w:tcPr>
            <w:tcW w:w="1364" w:type="pct"/>
            <w:noWrap w:val="0"/>
            <w:vAlign w:val="center"/>
          </w:tcPr>
          <w:p w14:paraId="462BF4B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w:t>
            </w:r>
          </w:p>
        </w:tc>
        <w:tc>
          <w:tcPr>
            <w:tcW w:w="1364" w:type="pct"/>
            <w:vMerge w:val="continue"/>
            <w:noWrap w:val="0"/>
            <w:vAlign w:val="center"/>
          </w:tcPr>
          <w:p w14:paraId="195A5D9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72F1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955A52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w:t>
            </w:r>
          </w:p>
        </w:tc>
        <w:tc>
          <w:tcPr>
            <w:tcW w:w="1760" w:type="pct"/>
            <w:noWrap w:val="0"/>
            <w:vAlign w:val="center"/>
          </w:tcPr>
          <w:p w14:paraId="0FCC3FF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三氯乙烯</w:t>
            </w:r>
          </w:p>
        </w:tc>
        <w:tc>
          <w:tcPr>
            <w:tcW w:w="1364" w:type="pct"/>
            <w:noWrap w:val="0"/>
            <w:vAlign w:val="center"/>
          </w:tcPr>
          <w:p w14:paraId="6FDB60D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w:t>
            </w:r>
          </w:p>
        </w:tc>
        <w:tc>
          <w:tcPr>
            <w:tcW w:w="1364" w:type="pct"/>
            <w:vMerge w:val="continue"/>
            <w:noWrap w:val="0"/>
            <w:vAlign w:val="center"/>
          </w:tcPr>
          <w:p w14:paraId="65898DA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6412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06B8B2C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w:t>
            </w:r>
          </w:p>
        </w:tc>
        <w:tc>
          <w:tcPr>
            <w:tcW w:w="1760" w:type="pct"/>
            <w:noWrap w:val="0"/>
            <w:vAlign w:val="center"/>
          </w:tcPr>
          <w:p w14:paraId="6994931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3-三氯丙烷</w:t>
            </w:r>
          </w:p>
        </w:tc>
        <w:tc>
          <w:tcPr>
            <w:tcW w:w="1364" w:type="pct"/>
            <w:noWrap w:val="0"/>
            <w:vAlign w:val="center"/>
          </w:tcPr>
          <w:p w14:paraId="1414B22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0.5</w:t>
            </w:r>
          </w:p>
        </w:tc>
        <w:tc>
          <w:tcPr>
            <w:tcW w:w="1364" w:type="pct"/>
            <w:vMerge w:val="continue"/>
            <w:noWrap w:val="0"/>
            <w:vAlign w:val="center"/>
          </w:tcPr>
          <w:p w14:paraId="3FBE4A0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49C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21E65F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w:t>
            </w:r>
          </w:p>
        </w:tc>
        <w:tc>
          <w:tcPr>
            <w:tcW w:w="1760" w:type="pct"/>
            <w:noWrap w:val="0"/>
            <w:vAlign w:val="center"/>
          </w:tcPr>
          <w:p w14:paraId="09E1F27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氯乙烯</w:t>
            </w:r>
          </w:p>
        </w:tc>
        <w:tc>
          <w:tcPr>
            <w:tcW w:w="1364" w:type="pct"/>
            <w:noWrap w:val="0"/>
            <w:vAlign w:val="center"/>
          </w:tcPr>
          <w:p w14:paraId="3558205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0.43</w:t>
            </w:r>
          </w:p>
        </w:tc>
        <w:tc>
          <w:tcPr>
            <w:tcW w:w="1364" w:type="pct"/>
            <w:vMerge w:val="continue"/>
            <w:noWrap w:val="0"/>
            <w:vAlign w:val="center"/>
          </w:tcPr>
          <w:p w14:paraId="430D7D1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3CA2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553AA34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26</w:t>
            </w:r>
          </w:p>
        </w:tc>
        <w:tc>
          <w:tcPr>
            <w:tcW w:w="1760" w:type="pct"/>
            <w:noWrap w:val="0"/>
            <w:vAlign w:val="center"/>
          </w:tcPr>
          <w:p w14:paraId="395E6F2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w:t>
            </w:r>
          </w:p>
        </w:tc>
        <w:tc>
          <w:tcPr>
            <w:tcW w:w="1364" w:type="pct"/>
            <w:noWrap w:val="0"/>
            <w:vAlign w:val="center"/>
          </w:tcPr>
          <w:p w14:paraId="0441299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1364" w:type="pct"/>
            <w:vMerge w:val="continue"/>
            <w:noWrap w:val="0"/>
            <w:vAlign w:val="center"/>
          </w:tcPr>
          <w:p w14:paraId="397FEBD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064F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901C5F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27</w:t>
            </w:r>
          </w:p>
        </w:tc>
        <w:tc>
          <w:tcPr>
            <w:tcW w:w="1760" w:type="pct"/>
            <w:noWrap w:val="0"/>
            <w:vAlign w:val="center"/>
          </w:tcPr>
          <w:p w14:paraId="1C46CE4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氯苯</w:t>
            </w:r>
          </w:p>
        </w:tc>
        <w:tc>
          <w:tcPr>
            <w:tcW w:w="1364" w:type="pct"/>
            <w:noWrap w:val="0"/>
            <w:vAlign w:val="center"/>
          </w:tcPr>
          <w:p w14:paraId="152F092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270</w:t>
            </w:r>
          </w:p>
        </w:tc>
        <w:tc>
          <w:tcPr>
            <w:tcW w:w="1364" w:type="pct"/>
            <w:vMerge w:val="continue"/>
            <w:noWrap w:val="0"/>
            <w:vAlign w:val="center"/>
          </w:tcPr>
          <w:p w14:paraId="5792823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415F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D07689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1760" w:type="pct"/>
            <w:noWrap w:val="0"/>
            <w:vAlign w:val="center"/>
          </w:tcPr>
          <w:p w14:paraId="6351BD7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2-二氯苯</w:t>
            </w:r>
          </w:p>
        </w:tc>
        <w:tc>
          <w:tcPr>
            <w:tcW w:w="1364" w:type="pct"/>
            <w:noWrap w:val="0"/>
            <w:vAlign w:val="center"/>
          </w:tcPr>
          <w:p w14:paraId="00D0C66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560</w:t>
            </w:r>
          </w:p>
        </w:tc>
        <w:tc>
          <w:tcPr>
            <w:tcW w:w="1364" w:type="pct"/>
            <w:vMerge w:val="continue"/>
            <w:noWrap w:val="0"/>
            <w:vAlign w:val="center"/>
          </w:tcPr>
          <w:p w14:paraId="3ECBE1E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6629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6F00646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29</w:t>
            </w:r>
          </w:p>
        </w:tc>
        <w:tc>
          <w:tcPr>
            <w:tcW w:w="1760" w:type="pct"/>
            <w:noWrap w:val="0"/>
            <w:vAlign w:val="center"/>
          </w:tcPr>
          <w:p w14:paraId="142C4A5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4-二氯苯</w:t>
            </w:r>
          </w:p>
        </w:tc>
        <w:tc>
          <w:tcPr>
            <w:tcW w:w="1364" w:type="pct"/>
            <w:noWrap w:val="0"/>
            <w:vAlign w:val="center"/>
          </w:tcPr>
          <w:p w14:paraId="6A0B47F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w:t>
            </w:r>
          </w:p>
        </w:tc>
        <w:tc>
          <w:tcPr>
            <w:tcW w:w="1364" w:type="pct"/>
            <w:vMerge w:val="continue"/>
            <w:noWrap w:val="0"/>
            <w:vAlign w:val="center"/>
          </w:tcPr>
          <w:p w14:paraId="072E790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4D22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034A0B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1760" w:type="pct"/>
            <w:noWrap w:val="0"/>
            <w:vAlign w:val="center"/>
          </w:tcPr>
          <w:p w14:paraId="6719D7A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乙苯</w:t>
            </w:r>
          </w:p>
        </w:tc>
        <w:tc>
          <w:tcPr>
            <w:tcW w:w="1364" w:type="pct"/>
            <w:noWrap w:val="0"/>
            <w:vAlign w:val="center"/>
          </w:tcPr>
          <w:p w14:paraId="1BB06A0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w:t>
            </w:r>
          </w:p>
        </w:tc>
        <w:tc>
          <w:tcPr>
            <w:tcW w:w="1364" w:type="pct"/>
            <w:vMerge w:val="continue"/>
            <w:noWrap w:val="0"/>
            <w:vAlign w:val="center"/>
          </w:tcPr>
          <w:p w14:paraId="1A25BDD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DB4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0484111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31</w:t>
            </w:r>
          </w:p>
        </w:tc>
        <w:tc>
          <w:tcPr>
            <w:tcW w:w="1760" w:type="pct"/>
            <w:noWrap w:val="0"/>
            <w:vAlign w:val="center"/>
          </w:tcPr>
          <w:p w14:paraId="0B88E3A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苯乙烯</w:t>
            </w:r>
          </w:p>
        </w:tc>
        <w:tc>
          <w:tcPr>
            <w:tcW w:w="1364" w:type="pct"/>
            <w:noWrap w:val="0"/>
            <w:vAlign w:val="center"/>
          </w:tcPr>
          <w:p w14:paraId="00CF2A4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1290</w:t>
            </w:r>
          </w:p>
        </w:tc>
        <w:tc>
          <w:tcPr>
            <w:tcW w:w="1364" w:type="pct"/>
            <w:vMerge w:val="continue"/>
            <w:noWrap w:val="0"/>
            <w:vAlign w:val="center"/>
          </w:tcPr>
          <w:p w14:paraId="07E8185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9D3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6DCCF82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32</w:t>
            </w:r>
          </w:p>
        </w:tc>
        <w:tc>
          <w:tcPr>
            <w:tcW w:w="1760" w:type="pct"/>
            <w:noWrap w:val="0"/>
            <w:vAlign w:val="center"/>
          </w:tcPr>
          <w:p w14:paraId="4BE94C2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甲苯</w:t>
            </w:r>
          </w:p>
        </w:tc>
        <w:tc>
          <w:tcPr>
            <w:tcW w:w="1364" w:type="pct"/>
            <w:noWrap w:val="0"/>
            <w:vAlign w:val="center"/>
          </w:tcPr>
          <w:p w14:paraId="13A89F2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1200</w:t>
            </w:r>
          </w:p>
        </w:tc>
        <w:tc>
          <w:tcPr>
            <w:tcW w:w="1364" w:type="pct"/>
            <w:vMerge w:val="continue"/>
            <w:noWrap w:val="0"/>
            <w:vAlign w:val="center"/>
          </w:tcPr>
          <w:p w14:paraId="4E9CB13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4C8A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74E355F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33</w:t>
            </w:r>
          </w:p>
        </w:tc>
        <w:tc>
          <w:tcPr>
            <w:tcW w:w="1760" w:type="pct"/>
            <w:noWrap w:val="0"/>
            <w:vAlign w:val="center"/>
          </w:tcPr>
          <w:p w14:paraId="13CACF1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间二甲苯+对二甲苯</w:t>
            </w:r>
          </w:p>
        </w:tc>
        <w:tc>
          <w:tcPr>
            <w:tcW w:w="1364" w:type="pct"/>
            <w:noWrap w:val="0"/>
            <w:vAlign w:val="center"/>
          </w:tcPr>
          <w:p w14:paraId="103F924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570</w:t>
            </w:r>
          </w:p>
        </w:tc>
        <w:tc>
          <w:tcPr>
            <w:tcW w:w="1364" w:type="pct"/>
            <w:vMerge w:val="continue"/>
            <w:noWrap w:val="0"/>
            <w:vAlign w:val="center"/>
          </w:tcPr>
          <w:p w14:paraId="1C038BA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703F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03610CE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34</w:t>
            </w:r>
          </w:p>
        </w:tc>
        <w:tc>
          <w:tcPr>
            <w:tcW w:w="1760" w:type="pct"/>
            <w:noWrap w:val="0"/>
            <w:vAlign w:val="center"/>
          </w:tcPr>
          <w:p w14:paraId="4AA4B08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邻二甲苯</w:t>
            </w:r>
          </w:p>
        </w:tc>
        <w:tc>
          <w:tcPr>
            <w:tcW w:w="1364" w:type="pct"/>
            <w:noWrap w:val="0"/>
            <w:vAlign w:val="center"/>
          </w:tcPr>
          <w:p w14:paraId="2E3F16E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640</w:t>
            </w:r>
          </w:p>
        </w:tc>
        <w:tc>
          <w:tcPr>
            <w:tcW w:w="1364" w:type="pct"/>
            <w:vMerge w:val="continue"/>
            <w:noWrap w:val="0"/>
            <w:vAlign w:val="center"/>
          </w:tcPr>
          <w:p w14:paraId="2D4906A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C01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7B59560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1760" w:type="pct"/>
            <w:noWrap w:val="0"/>
            <w:vAlign w:val="center"/>
          </w:tcPr>
          <w:p w14:paraId="0D0E193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硝基苯</w:t>
            </w:r>
          </w:p>
        </w:tc>
        <w:tc>
          <w:tcPr>
            <w:tcW w:w="1364" w:type="pct"/>
            <w:noWrap w:val="0"/>
            <w:vAlign w:val="center"/>
          </w:tcPr>
          <w:p w14:paraId="0F7E91B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76</w:t>
            </w:r>
          </w:p>
        </w:tc>
        <w:tc>
          <w:tcPr>
            <w:tcW w:w="1364" w:type="pct"/>
            <w:vMerge w:val="continue"/>
            <w:noWrap w:val="0"/>
            <w:vAlign w:val="center"/>
          </w:tcPr>
          <w:p w14:paraId="1674ED0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61E2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1118E9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36</w:t>
            </w:r>
          </w:p>
        </w:tc>
        <w:tc>
          <w:tcPr>
            <w:tcW w:w="1760" w:type="pct"/>
            <w:noWrap w:val="0"/>
            <w:vAlign w:val="center"/>
          </w:tcPr>
          <w:p w14:paraId="161DA2F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苯胺</w:t>
            </w:r>
          </w:p>
        </w:tc>
        <w:tc>
          <w:tcPr>
            <w:tcW w:w="1364" w:type="pct"/>
            <w:noWrap w:val="0"/>
            <w:vAlign w:val="center"/>
          </w:tcPr>
          <w:p w14:paraId="1DBB77A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260</w:t>
            </w:r>
          </w:p>
        </w:tc>
        <w:tc>
          <w:tcPr>
            <w:tcW w:w="1364" w:type="pct"/>
            <w:vMerge w:val="continue"/>
            <w:noWrap w:val="0"/>
            <w:vAlign w:val="center"/>
          </w:tcPr>
          <w:p w14:paraId="715051E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1B5B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1A99BD3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37</w:t>
            </w:r>
          </w:p>
        </w:tc>
        <w:tc>
          <w:tcPr>
            <w:tcW w:w="1760" w:type="pct"/>
            <w:noWrap w:val="0"/>
            <w:vAlign w:val="center"/>
          </w:tcPr>
          <w:p w14:paraId="032082A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2-氯酚</w:t>
            </w:r>
          </w:p>
        </w:tc>
        <w:tc>
          <w:tcPr>
            <w:tcW w:w="1364" w:type="pct"/>
            <w:noWrap w:val="0"/>
            <w:vAlign w:val="center"/>
          </w:tcPr>
          <w:p w14:paraId="1955411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2256</w:t>
            </w:r>
          </w:p>
        </w:tc>
        <w:tc>
          <w:tcPr>
            <w:tcW w:w="1364" w:type="pct"/>
            <w:vMerge w:val="continue"/>
            <w:noWrap w:val="0"/>
            <w:vAlign w:val="center"/>
          </w:tcPr>
          <w:p w14:paraId="6F1D783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1D8D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1EE4CC6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w:t>
            </w:r>
          </w:p>
        </w:tc>
        <w:tc>
          <w:tcPr>
            <w:tcW w:w="1760" w:type="pct"/>
            <w:noWrap w:val="0"/>
            <w:vAlign w:val="center"/>
          </w:tcPr>
          <w:p w14:paraId="0C20E4F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苯并[a]蒽</w:t>
            </w:r>
          </w:p>
        </w:tc>
        <w:tc>
          <w:tcPr>
            <w:tcW w:w="1364" w:type="pct"/>
            <w:noWrap w:val="0"/>
            <w:vAlign w:val="center"/>
          </w:tcPr>
          <w:p w14:paraId="0589BE0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1364" w:type="pct"/>
            <w:vMerge w:val="continue"/>
            <w:noWrap w:val="0"/>
            <w:vAlign w:val="center"/>
          </w:tcPr>
          <w:p w14:paraId="1B6987D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32B2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58AA716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39</w:t>
            </w:r>
          </w:p>
        </w:tc>
        <w:tc>
          <w:tcPr>
            <w:tcW w:w="1760" w:type="pct"/>
            <w:noWrap w:val="0"/>
            <w:vAlign w:val="center"/>
          </w:tcPr>
          <w:p w14:paraId="54683FF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苯并[a]芘</w:t>
            </w:r>
          </w:p>
        </w:tc>
        <w:tc>
          <w:tcPr>
            <w:tcW w:w="1364" w:type="pct"/>
            <w:noWrap w:val="0"/>
            <w:vAlign w:val="center"/>
          </w:tcPr>
          <w:p w14:paraId="042A99C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1364" w:type="pct"/>
            <w:vMerge w:val="continue"/>
            <w:noWrap w:val="0"/>
            <w:vAlign w:val="center"/>
          </w:tcPr>
          <w:p w14:paraId="380FDF6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781D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274EB64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1760" w:type="pct"/>
            <w:noWrap w:val="0"/>
            <w:vAlign w:val="center"/>
          </w:tcPr>
          <w:p w14:paraId="6FF4387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苯并[b]荧蒽</w:t>
            </w:r>
          </w:p>
        </w:tc>
        <w:tc>
          <w:tcPr>
            <w:tcW w:w="1364" w:type="pct"/>
            <w:noWrap w:val="0"/>
            <w:vAlign w:val="center"/>
          </w:tcPr>
          <w:p w14:paraId="7183BE1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1364" w:type="pct"/>
            <w:vMerge w:val="continue"/>
            <w:noWrap w:val="0"/>
            <w:vAlign w:val="center"/>
          </w:tcPr>
          <w:p w14:paraId="3190C32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1716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4DCD03C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41</w:t>
            </w:r>
          </w:p>
        </w:tc>
        <w:tc>
          <w:tcPr>
            <w:tcW w:w="1760" w:type="pct"/>
            <w:noWrap w:val="0"/>
            <w:vAlign w:val="center"/>
          </w:tcPr>
          <w:p w14:paraId="5A5E61B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苯并[k]荧蒽</w:t>
            </w:r>
          </w:p>
        </w:tc>
        <w:tc>
          <w:tcPr>
            <w:tcW w:w="1364" w:type="pct"/>
            <w:noWrap w:val="0"/>
            <w:vAlign w:val="center"/>
          </w:tcPr>
          <w:p w14:paraId="42A0E3C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151</w:t>
            </w:r>
          </w:p>
        </w:tc>
        <w:tc>
          <w:tcPr>
            <w:tcW w:w="1364" w:type="pct"/>
            <w:vMerge w:val="continue"/>
            <w:noWrap w:val="0"/>
            <w:vAlign w:val="center"/>
          </w:tcPr>
          <w:p w14:paraId="112D229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252D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477085B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42</w:t>
            </w:r>
          </w:p>
        </w:tc>
        <w:tc>
          <w:tcPr>
            <w:tcW w:w="1760" w:type="pct"/>
            <w:noWrap w:val="0"/>
            <w:vAlign w:val="center"/>
          </w:tcPr>
          <w:p w14:paraId="585B83B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䓛</w:t>
            </w:r>
          </w:p>
        </w:tc>
        <w:tc>
          <w:tcPr>
            <w:tcW w:w="1364" w:type="pct"/>
            <w:noWrap w:val="0"/>
            <w:vAlign w:val="center"/>
          </w:tcPr>
          <w:p w14:paraId="09C02A6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1293</w:t>
            </w:r>
          </w:p>
        </w:tc>
        <w:tc>
          <w:tcPr>
            <w:tcW w:w="1364" w:type="pct"/>
            <w:vMerge w:val="continue"/>
            <w:noWrap w:val="0"/>
            <w:vAlign w:val="center"/>
          </w:tcPr>
          <w:p w14:paraId="2C49F95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40A9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752FD02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43</w:t>
            </w:r>
          </w:p>
        </w:tc>
        <w:tc>
          <w:tcPr>
            <w:tcW w:w="1760" w:type="pct"/>
            <w:noWrap w:val="0"/>
            <w:vAlign w:val="center"/>
          </w:tcPr>
          <w:p w14:paraId="6306C29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二苯并[a</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h]蒽</w:t>
            </w:r>
          </w:p>
        </w:tc>
        <w:tc>
          <w:tcPr>
            <w:tcW w:w="1364" w:type="pct"/>
            <w:noWrap w:val="0"/>
            <w:vAlign w:val="center"/>
          </w:tcPr>
          <w:p w14:paraId="7358109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1364" w:type="pct"/>
            <w:vMerge w:val="continue"/>
            <w:noWrap w:val="0"/>
            <w:vAlign w:val="center"/>
          </w:tcPr>
          <w:p w14:paraId="656348A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02EA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5A07B1B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44</w:t>
            </w:r>
          </w:p>
        </w:tc>
        <w:tc>
          <w:tcPr>
            <w:tcW w:w="1760" w:type="pct"/>
            <w:noWrap w:val="0"/>
            <w:vAlign w:val="center"/>
          </w:tcPr>
          <w:p w14:paraId="54F754F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茚并[1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3-cd]芘</w:t>
            </w:r>
          </w:p>
        </w:tc>
        <w:tc>
          <w:tcPr>
            <w:tcW w:w="1364" w:type="pct"/>
            <w:noWrap w:val="0"/>
            <w:vAlign w:val="center"/>
          </w:tcPr>
          <w:p w14:paraId="0B25079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1364" w:type="pct"/>
            <w:vMerge w:val="continue"/>
            <w:noWrap w:val="0"/>
            <w:vAlign w:val="center"/>
          </w:tcPr>
          <w:p w14:paraId="4CE3748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045D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123BA11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45</w:t>
            </w:r>
          </w:p>
        </w:tc>
        <w:tc>
          <w:tcPr>
            <w:tcW w:w="1760" w:type="pct"/>
            <w:noWrap w:val="0"/>
            <w:vAlign w:val="center"/>
          </w:tcPr>
          <w:p w14:paraId="0966A4E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萘</w:t>
            </w:r>
          </w:p>
        </w:tc>
        <w:tc>
          <w:tcPr>
            <w:tcW w:w="1364" w:type="pct"/>
            <w:noWrap w:val="0"/>
            <w:vAlign w:val="center"/>
          </w:tcPr>
          <w:p w14:paraId="62E2BD7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70</w:t>
            </w:r>
          </w:p>
        </w:tc>
        <w:tc>
          <w:tcPr>
            <w:tcW w:w="1364" w:type="pct"/>
            <w:vMerge w:val="continue"/>
            <w:noWrap w:val="0"/>
            <w:vAlign w:val="center"/>
          </w:tcPr>
          <w:p w14:paraId="79D594E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3186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6EC8D57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w:t>
            </w:r>
          </w:p>
        </w:tc>
        <w:tc>
          <w:tcPr>
            <w:tcW w:w="1760" w:type="pct"/>
            <w:noWrap w:val="0"/>
            <w:vAlign w:val="center"/>
          </w:tcPr>
          <w:p w14:paraId="1B27C60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石油烃（C10-40）</w:t>
            </w:r>
          </w:p>
        </w:tc>
        <w:tc>
          <w:tcPr>
            <w:tcW w:w="1364" w:type="pct"/>
            <w:noWrap w:val="0"/>
            <w:vAlign w:val="center"/>
          </w:tcPr>
          <w:p w14:paraId="738B46FD">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4500</w:t>
            </w:r>
          </w:p>
        </w:tc>
        <w:tc>
          <w:tcPr>
            <w:tcW w:w="1364" w:type="pct"/>
            <w:vMerge w:val="continue"/>
            <w:noWrap w:val="0"/>
            <w:vAlign w:val="center"/>
          </w:tcPr>
          <w:p w14:paraId="473BE18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7082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noWrap w:val="0"/>
            <w:vAlign w:val="center"/>
          </w:tcPr>
          <w:p w14:paraId="6862795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w:t>
            </w:r>
          </w:p>
        </w:tc>
        <w:tc>
          <w:tcPr>
            <w:tcW w:w="1760" w:type="pct"/>
            <w:noWrap w:val="0"/>
            <w:vAlign w:val="center"/>
          </w:tcPr>
          <w:p w14:paraId="24DA66E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三氯乙烷</w:t>
            </w:r>
          </w:p>
        </w:tc>
        <w:tc>
          <w:tcPr>
            <w:tcW w:w="1364" w:type="pct"/>
            <w:noWrap w:val="0"/>
            <w:vAlign w:val="center"/>
          </w:tcPr>
          <w:p w14:paraId="1B0E56E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840（1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1-三氯乙烷）/2.8（1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2-三氯乙烷）</w:t>
            </w:r>
          </w:p>
        </w:tc>
        <w:tc>
          <w:tcPr>
            <w:tcW w:w="1364" w:type="pct"/>
            <w:vMerge w:val="continue"/>
            <w:noWrap w:val="0"/>
            <w:vAlign w:val="center"/>
          </w:tcPr>
          <w:p w14:paraId="426C2F9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6926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noWrap w:val="0"/>
            <w:vAlign w:val="center"/>
          </w:tcPr>
          <w:p w14:paraId="6EC8348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w:t>
            </w:r>
          </w:p>
        </w:tc>
        <w:tc>
          <w:tcPr>
            <w:tcW w:w="1760" w:type="pct"/>
            <w:noWrap w:val="0"/>
            <w:vAlign w:val="center"/>
          </w:tcPr>
          <w:p w14:paraId="3E7254F2">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氟化物</w:t>
            </w:r>
          </w:p>
        </w:tc>
        <w:tc>
          <w:tcPr>
            <w:tcW w:w="1364" w:type="pct"/>
            <w:noWrap w:val="0"/>
            <w:vAlign w:val="center"/>
          </w:tcPr>
          <w:p w14:paraId="33CCF6F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21700</w:t>
            </w:r>
          </w:p>
        </w:tc>
        <w:tc>
          <w:tcPr>
            <w:tcW w:w="1364" w:type="pct"/>
            <w:noWrap w:val="0"/>
            <w:vAlign w:val="center"/>
          </w:tcPr>
          <w:p w14:paraId="1D4ACD4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江苏省地方标准《建设用地土壤污染风险筛选值》（DB32/T 4712-2024）</w:t>
            </w:r>
          </w:p>
        </w:tc>
      </w:tr>
      <w:tr w14:paraId="1A63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noWrap w:val="0"/>
            <w:vAlign w:val="center"/>
          </w:tcPr>
          <w:p w14:paraId="4D6EEEE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w:t>
            </w:r>
          </w:p>
        </w:tc>
        <w:tc>
          <w:tcPr>
            <w:tcW w:w="1760" w:type="pct"/>
            <w:noWrap w:val="0"/>
            <w:vAlign w:val="center"/>
          </w:tcPr>
          <w:p w14:paraId="2D91335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氯化物（以氯离子计）</w:t>
            </w:r>
          </w:p>
        </w:tc>
        <w:tc>
          <w:tcPr>
            <w:tcW w:w="1364" w:type="pct"/>
            <w:noWrap w:val="0"/>
            <w:vAlign w:val="center"/>
          </w:tcPr>
          <w:p w14:paraId="063BC05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c>
          <w:tcPr>
            <w:tcW w:w="1364" w:type="pct"/>
            <w:noWrap w:val="0"/>
            <w:vAlign w:val="center"/>
          </w:tcPr>
          <w:p w14:paraId="7574177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59AA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noWrap w:val="0"/>
            <w:vAlign w:val="center"/>
          </w:tcPr>
          <w:p w14:paraId="29791CC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c>
          <w:tcPr>
            <w:tcW w:w="1760" w:type="pct"/>
            <w:noWrap w:val="0"/>
            <w:vAlign w:val="center"/>
          </w:tcPr>
          <w:p w14:paraId="466EEFE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1-二氯-1-氟乙烷</w:t>
            </w:r>
          </w:p>
        </w:tc>
        <w:tc>
          <w:tcPr>
            <w:tcW w:w="1364" w:type="pct"/>
            <w:noWrap w:val="0"/>
            <w:vAlign w:val="center"/>
          </w:tcPr>
          <w:p w14:paraId="1B80BBD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c>
          <w:tcPr>
            <w:tcW w:w="1364" w:type="pct"/>
            <w:noWrap w:val="0"/>
            <w:vAlign w:val="center"/>
          </w:tcPr>
          <w:p w14:paraId="233B465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04FA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noWrap w:val="0"/>
            <w:vAlign w:val="center"/>
          </w:tcPr>
          <w:p w14:paraId="181B873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w:t>
            </w:r>
          </w:p>
        </w:tc>
        <w:tc>
          <w:tcPr>
            <w:tcW w:w="1760" w:type="pct"/>
            <w:noWrap w:val="0"/>
            <w:vAlign w:val="center"/>
          </w:tcPr>
          <w:p w14:paraId="469A937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一氯二氟乙烷</w:t>
            </w:r>
          </w:p>
        </w:tc>
        <w:tc>
          <w:tcPr>
            <w:tcW w:w="1364" w:type="pct"/>
            <w:noWrap w:val="0"/>
            <w:vAlign w:val="center"/>
          </w:tcPr>
          <w:p w14:paraId="61A4162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c>
          <w:tcPr>
            <w:tcW w:w="1364" w:type="pct"/>
            <w:noWrap w:val="0"/>
            <w:vAlign w:val="center"/>
          </w:tcPr>
          <w:p w14:paraId="2D685BAF">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0228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14:paraId="3646A23A">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w:t>
            </w:r>
          </w:p>
        </w:tc>
        <w:tc>
          <w:tcPr>
            <w:tcW w:w="1760" w:type="pct"/>
            <w:noWrap w:val="0"/>
            <w:vAlign w:val="center"/>
          </w:tcPr>
          <w:p w14:paraId="7A2C537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pH</w:t>
            </w:r>
          </w:p>
        </w:tc>
        <w:tc>
          <w:tcPr>
            <w:tcW w:w="1364" w:type="pct"/>
            <w:noWrap w:val="0"/>
            <w:vAlign w:val="center"/>
          </w:tcPr>
          <w:p w14:paraId="55BABA5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c>
          <w:tcPr>
            <w:tcW w:w="1364" w:type="pct"/>
            <w:noWrap w:val="0"/>
            <w:vAlign w:val="center"/>
          </w:tcPr>
          <w:p w14:paraId="4A6594F8">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p>
        </w:tc>
      </w:tr>
    </w:tbl>
    <w:p w14:paraId="3EA66D19">
      <w:pPr>
        <w:pStyle w:val="4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 5.2-</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 xml:space="preserve"> 地下水检测项目</w:t>
      </w:r>
      <w:r>
        <w:rPr>
          <w:rFonts w:hint="default" w:ascii="Times New Roman" w:hAnsi="Times New Roman" w:cs="Times New Roman"/>
          <w:color w:val="auto"/>
          <w:highlight w:val="none"/>
        </w:rPr>
        <w:t>Ⅳ类用水标准限值</w:t>
      </w:r>
      <w:r>
        <w:rPr>
          <w:rFonts w:hint="default" w:ascii="Times New Roman" w:hAnsi="Times New Roman" w:cs="Times New Roman"/>
          <w:color w:val="auto"/>
          <w:highlight w:val="none"/>
          <w:lang w:val="en-US" w:eastAsia="zh-CN"/>
        </w:rPr>
        <w:t>汇总</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7"/>
        <w:gridCol w:w="2892"/>
        <w:gridCol w:w="2333"/>
      </w:tblGrid>
      <w:tr w14:paraId="6442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55B2FF85">
            <w:pPr>
              <w:pStyle w:val="25"/>
              <w:spacing w:line="240" w:lineRule="atLeast"/>
              <w:ind w:firstLine="0" w:firstLineChars="0"/>
              <w:jc w:val="center"/>
              <w:rPr>
                <w:rFonts w:hint="default" w:ascii="Times New Roman" w:hAnsi="Times New Roman" w:cs="Times New Roman" w:eastAsiaTheme="majorEastAsia"/>
                <w:b w:val="0"/>
                <w:bCs/>
                <w:color w:val="auto"/>
                <w:spacing w:val="12"/>
                <w:sz w:val="21"/>
                <w:highlight w:val="none"/>
              </w:rPr>
            </w:pPr>
            <w:r>
              <w:rPr>
                <w:rFonts w:hint="default" w:ascii="Times New Roman" w:hAnsi="Times New Roman" w:cs="Times New Roman" w:eastAsiaTheme="majorEastAsia"/>
                <w:b w:val="0"/>
                <w:bCs/>
                <w:color w:val="auto"/>
                <w:spacing w:val="12"/>
                <w:sz w:val="21"/>
                <w:highlight w:val="none"/>
              </w:rPr>
              <w:t>类别</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6BD52CFC">
            <w:pPr>
              <w:pStyle w:val="25"/>
              <w:spacing w:line="240" w:lineRule="atLeast"/>
              <w:ind w:firstLine="0" w:firstLineChars="0"/>
              <w:jc w:val="center"/>
              <w:rPr>
                <w:rFonts w:hint="default" w:ascii="Times New Roman" w:hAnsi="Times New Roman" w:cs="Times New Roman" w:eastAsiaTheme="majorEastAsia"/>
                <w:b w:val="0"/>
                <w:bCs/>
                <w:color w:val="auto"/>
                <w:spacing w:val="12"/>
                <w:sz w:val="21"/>
                <w:highlight w:val="none"/>
                <w:lang w:eastAsia="zh-CN"/>
              </w:rPr>
            </w:pPr>
            <w:r>
              <w:rPr>
                <w:rFonts w:hint="default" w:ascii="Times New Roman" w:hAnsi="Times New Roman" w:cs="Times New Roman" w:eastAsiaTheme="majorEastAsia"/>
                <w:b w:val="0"/>
                <w:bCs/>
                <w:color w:val="auto"/>
                <w:spacing w:val="12"/>
                <w:sz w:val="21"/>
                <w:highlight w:val="none"/>
              </w:rPr>
              <w:t>标准</w:t>
            </w:r>
            <w:r>
              <w:rPr>
                <w:rFonts w:hint="default" w:ascii="Times New Roman" w:hAnsi="Times New Roman" w:cs="Times New Roman" w:eastAsiaTheme="majorEastAsia"/>
                <w:b w:val="0"/>
                <w:bCs/>
                <w:color w:val="auto"/>
                <w:spacing w:val="12"/>
                <w:sz w:val="21"/>
                <w:highlight w:val="none"/>
                <w:lang w:val="en-US" w:eastAsia="zh-CN"/>
              </w:rPr>
              <w:t>限值</w:t>
            </w:r>
          </w:p>
        </w:tc>
        <w:tc>
          <w:tcPr>
            <w:tcW w:w="1368" w:type="pct"/>
            <w:tcBorders>
              <w:top w:val="single" w:color="auto" w:sz="4" w:space="0"/>
              <w:left w:val="single" w:color="auto" w:sz="4" w:space="0"/>
              <w:bottom w:val="single" w:color="auto" w:sz="4" w:space="0"/>
              <w:right w:val="single" w:color="auto" w:sz="4" w:space="0"/>
            </w:tcBorders>
            <w:shd w:val="clear" w:color="auto" w:fill="auto"/>
            <w:vAlign w:val="center"/>
          </w:tcPr>
          <w:p w14:paraId="364CBE7D">
            <w:pPr>
              <w:pStyle w:val="25"/>
              <w:spacing w:line="240" w:lineRule="atLeast"/>
              <w:ind w:firstLine="0" w:firstLineChars="0"/>
              <w:jc w:val="center"/>
              <w:rPr>
                <w:rFonts w:hint="default" w:ascii="Times New Roman" w:hAnsi="Times New Roman" w:cs="Times New Roman" w:eastAsiaTheme="majorEastAsia"/>
                <w:b w:val="0"/>
                <w:bCs/>
                <w:color w:val="auto"/>
                <w:spacing w:val="12"/>
                <w:sz w:val="21"/>
                <w:highlight w:val="none"/>
              </w:rPr>
            </w:pPr>
            <w:r>
              <w:rPr>
                <w:rFonts w:hint="default" w:ascii="Times New Roman" w:hAnsi="Times New Roman" w:cs="Times New Roman" w:eastAsiaTheme="majorEastAsia"/>
                <w:b w:val="0"/>
                <w:bCs/>
                <w:color w:val="auto"/>
                <w:spacing w:val="12"/>
                <w:sz w:val="21"/>
                <w:highlight w:val="none"/>
              </w:rPr>
              <w:t>标准来源</w:t>
            </w:r>
          </w:p>
        </w:tc>
      </w:tr>
      <w:tr w14:paraId="0F4F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6779DB7D">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锌（mg/L）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49830F33">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≤5</w:t>
            </w:r>
          </w:p>
        </w:tc>
        <w:tc>
          <w:tcPr>
            <w:tcW w:w="1368" w:type="pct"/>
            <w:vMerge w:val="restart"/>
            <w:tcBorders>
              <w:top w:val="single" w:color="auto" w:sz="4" w:space="0"/>
              <w:left w:val="single" w:color="auto" w:sz="4" w:space="0"/>
              <w:right w:val="single" w:color="auto" w:sz="4" w:space="0"/>
            </w:tcBorders>
            <w:shd w:val="clear" w:color="auto" w:fill="auto"/>
            <w:vAlign w:val="center"/>
          </w:tcPr>
          <w:p w14:paraId="040BADBC">
            <w:pPr>
              <w:pStyle w:val="25"/>
              <w:spacing w:line="240" w:lineRule="atLeast"/>
              <w:ind w:firstLine="0" w:firstLineChars="0"/>
              <w:jc w:val="center"/>
              <w:rPr>
                <w:rFonts w:hint="default" w:ascii="Times New Roman" w:hAnsi="Times New Roman" w:cs="Times New Roman" w:eastAsiaTheme="majorEastAsia"/>
                <w:b w:val="0"/>
                <w:bCs/>
                <w:color w:val="auto"/>
                <w:spacing w:val="12"/>
                <w:sz w:val="21"/>
                <w:highlight w:val="none"/>
              </w:rPr>
            </w:pPr>
            <w:r>
              <w:rPr>
                <w:rFonts w:hint="default" w:ascii="Times New Roman" w:hAnsi="Times New Roman" w:cs="Times New Roman" w:eastAsiaTheme="majorEastAsia"/>
                <w:b w:val="0"/>
                <w:bCs/>
                <w:color w:val="auto"/>
                <w:sz w:val="21"/>
                <w:highlight w:val="none"/>
              </w:rPr>
              <w:t>《地下水质量标准》（GB/T</w:t>
            </w:r>
            <w:r>
              <w:rPr>
                <w:rFonts w:hint="default" w:ascii="Times New Roman" w:hAnsi="Times New Roman" w:cs="Times New Roman" w:eastAsiaTheme="majorEastAsia"/>
                <w:b w:val="0"/>
                <w:bCs/>
                <w:color w:val="auto"/>
                <w:sz w:val="21"/>
                <w:highlight w:val="none"/>
                <w:lang w:val="en-US" w:eastAsia="zh-CN"/>
              </w:rPr>
              <w:t xml:space="preserve"> </w:t>
            </w:r>
            <w:r>
              <w:rPr>
                <w:rFonts w:hint="default" w:ascii="Times New Roman" w:hAnsi="Times New Roman" w:cs="Times New Roman" w:eastAsiaTheme="majorEastAsia"/>
                <w:b w:val="0"/>
                <w:bCs/>
                <w:color w:val="auto"/>
                <w:sz w:val="21"/>
                <w:highlight w:val="none"/>
              </w:rPr>
              <w:t>14848-2017）Ⅳ类标准</w:t>
            </w:r>
          </w:p>
        </w:tc>
      </w:tr>
      <w:tr w14:paraId="04EC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6EAF42BF">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镉（mg/L）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7FE4F81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≤0.01</w:t>
            </w:r>
          </w:p>
        </w:tc>
        <w:tc>
          <w:tcPr>
            <w:tcW w:w="1368" w:type="pct"/>
            <w:vMerge w:val="continue"/>
            <w:tcBorders>
              <w:left w:val="single" w:color="auto" w:sz="4" w:space="0"/>
              <w:right w:val="single" w:color="auto" w:sz="4" w:space="0"/>
            </w:tcBorders>
            <w:shd w:val="clear" w:color="auto" w:fill="auto"/>
            <w:vAlign w:val="center"/>
          </w:tcPr>
          <w:p w14:paraId="07CD4A0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7446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18BAA65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铜（mg/L）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2B458CD9">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≤1.5</w:t>
            </w:r>
          </w:p>
        </w:tc>
        <w:tc>
          <w:tcPr>
            <w:tcW w:w="1368" w:type="pct"/>
            <w:vMerge w:val="continue"/>
            <w:tcBorders>
              <w:left w:val="single" w:color="auto" w:sz="4" w:space="0"/>
              <w:right w:val="single" w:color="auto" w:sz="4" w:space="0"/>
            </w:tcBorders>
            <w:shd w:val="clear" w:color="auto" w:fill="auto"/>
            <w:vAlign w:val="center"/>
          </w:tcPr>
          <w:p w14:paraId="4C056B47">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038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3CCD4D2A">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铅（mg/L）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751F2A4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≤0.1</w:t>
            </w:r>
          </w:p>
        </w:tc>
        <w:tc>
          <w:tcPr>
            <w:tcW w:w="1368" w:type="pct"/>
            <w:vMerge w:val="continue"/>
            <w:tcBorders>
              <w:left w:val="single" w:color="auto" w:sz="4" w:space="0"/>
              <w:right w:val="single" w:color="auto" w:sz="4" w:space="0"/>
            </w:tcBorders>
            <w:shd w:val="clear" w:color="auto" w:fill="auto"/>
            <w:vAlign w:val="center"/>
          </w:tcPr>
          <w:p w14:paraId="3EE145C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08FC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0224FA79">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铝（mg/L）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292EC69A">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≤0.5</w:t>
            </w:r>
          </w:p>
        </w:tc>
        <w:tc>
          <w:tcPr>
            <w:tcW w:w="1368" w:type="pct"/>
            <w:vMerge w:val="continue"/>
            <w:tcBorders>
              <w:left w:val="single" w:color="auto" w:sz="4" w:space="0"/>
              <w:right w:val="single" w:color="auto" w:sz="4" w:space="0"/>
            </w:tcBorders>
            <w:shd w:val="clear" w:color="auto" w:fill="auto"/>
            <w:vAlign w:val="center"/>
          </w:tcPr>
          <w:p w14:paraId="13DF982C">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5E51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32844AC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铁（mg/L）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45C43DC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≤2</w:t>
            </w:r>
          </w:p>
        </w:tc>
        <w:tc>
          <w:tcPr>
            <w:tcW w:w="1368" w:type="pct"/>
            <w:vMerge w:val="continue"/>
            <w:tcBorders>
              <w:left w:val="single" w:color="auto" w:sz="4" w:space="0"/>
              <w:right w:val="single" w:color="auto" w:sz="4" w:space="0"/>
            </w:tcBorders>
            <w:shd w:val="clear" w:color="auto" w:fill="auto"/>
            <w:vAlign w:val="center"/>
          </w:tcPr>
          <w:p w14:paraId="5D4ED14D">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3828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7152FADC">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锰（mg/L）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6934DDC4">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≤1.5</w:t>
            </w:r>
          </w:p>
        </w:tc>
        <w:tc>
          <w:tcPr>
            <w:tcW w:w="1368" w:type="pct"/>
            <w:vMerge w:val="continue"/>
            <w:tcBorders>
              <w:left w:val="single" w:color="auto" w:sz="4" w:space="0"/>
              <w:right w:val="single" w:color="auto" w:sz="4" w:space="0"/>
            </w:tcBorders>
            <w:shd w:val="clear" w:color="auto" w:fill="auto"/>
            <w:vAlign w:val="center"/>
          </w:tcPr>
          <w:p w14:paraId="3F5041F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263D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401A970F">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钠（mg/L）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06BF3694">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≤400</w:t>
            </w:r>
          </w:p>
        </w:tc>
        <w:tc>
          <w:tcPr>
            <w:tcW w:w="1368" w:type="pct"/>
            <w:vMerge w:val="continue"/>
            <w:tcBorders>
              <w:left w:val="single" w:color="auto" w:sz="4" w:space="0"/>
              <w:right w:val="single" w:color="auto" w:sz="4" w:space="0"/>
            </w:tcBorders>
            <w:shd w:val="clear" w:color="auto" w:fill="auto"/>
            <w:vAlign w:val="center"/>
          </w:tcPr>
          <w:p w14:paraId="0FE7A60C">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1AC9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43477A09">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汞（mg/L）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15EB9097">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≤0.002</w:t>
            </w:r>
          </w:p>
        </w:tc>
        <w:tc>
          <w:tcPr>
            <w:tcW w:w="1368" w:type="pct"/>
            <w:vMerge w:val="continue"/>
            <w:tcBorders>
              <w:left w:val="single" w:color="auto" w:sz="4" w:space="0"/>
              <w:right w:val="single" w:color="auto" w:sz="4" w:space="0"/>
            </w:tcBorders>
            <w:shd w:val="clear" w:color="auto" w:fill="auto"/>
            <w:vAlign w:val="center"/>
          </w:tcPr>
          <w:p w14:paraId="7918AD2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524A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33D744C3">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砷（mg/L）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3DE1A39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≤0.05</w:t>
            </w:r>
          </w:p>
        </w:tc>
        <w:tc>
          <w:tcPr>
            <w:tcW w:w="1368" w:type="pct"/>
            <w:vMerge w:val="continue"/>
            <w:tcBorders>
              <w:left w:val="single" w:color="auto" w:sz="4" w:space="0"/>
              <w:right w:val="single" w:color="auto" w:sz="4" w:space="0"/>
            </w:tcBorders>
            <w:shd w:val="clear" w:color="auto" w:fill="auto"/>
            <w:vAlign w:val="center"/>
          </w:tcPr>
          <w:p w14:paraId="125C2C7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D51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62A75D67">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硒（mg/L）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0D81E97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≤0.1</w:t>
            </w:r>
          </w:p>
        </w:tc>
        <w:tc>
          <w:tcPr>
            <w:tcW w:w="1368" w:type="pct"/>
            <w:vMerge w:val="continue"/>
            <w:tcBorders>
              <w:left w:val="single" w:color="auto" w:sz="4" w:space="0"/>
              <w:right w:val="single" w:color="auto" w:sz="4" w:space="0"/>
            </w:tcBorders>
            <w:shd w:val="clear" w:color="auto" w:fill="auto"/>
            <w:vAlign w:val="center"/>
          </w:tcPr>
          <w:p w14:paraId="52960FD9">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1A30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54F14A02">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铬（六价）（mg/L）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22BACDCF">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≤0.1</w:t>
            </w:r>
          </w:p>
        </w:tc>
        <w:tc>
          <w:tcPr>
            <w:tcW w:w="1368" w:type="pct"/>
            <w:vMerge w:val="continue"/>
            <w:tcBorders>
              <w:left w:val="single" w:color="auto" w:sz="4" w:space="0"/>
              <w:right w:val="single" w:color="auto" w:sz="4" w:space="0"/>
            </w:tcBorders>
            <w:shd w:val="clear" w:color="auto" w:fill="auto"/>
            <w:vAlign w:val="center"/>
          </w:tcPr>
          <w:p w14:paraId="34D156B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E37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3FDA7532">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pH（无量纲）</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324DA56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5.5≤pH＜6.5；8.5≤pH＜9.0</w:t>
            </w:r>
          </w:p>
        </w:tc>
        <w:tc>
          <w:tcPr>
            <w:tcW w:w="1368" w:type="pct"/>
            <w:vMerge w:val="continue"/>
            <w:tcBorders>
              <w:left w:val="single" w:color="auto" w:sz="4" w:space="0"/>
              <w:right w:val="single" w:color="auto" w:sz="4" w:space="0"/>
            </w:tcBorders>
            <w:shd w:val="clear" w:color="auto" w:fill="auto"/>
            <w:vAlign w:val="center"/>
          </w:tcPr>
          <w:p w14:paraId="3A16FA9A">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0612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213E0BF3">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色度（度）</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47A21374">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≤25</w:t>
            </w:r>
          </w:p>
        </w:tc>
        <w:tc>
          <w:tcPr>
            <w:tcW w:w="1368" w:type="pct"/>
            <w:vMerge w:val="continue"/>
            <w:tcBorders>
              <w:left w:val="single" w:color="auto" w:sz="4" w:space="0"/>
              <w:right w:val="single" w:color="auto" w:sz="4" w:space="0"/>
            </w:tcBorders>
            <w:shd w:val="clear" w:color="auto" w:fill="auto"/>
            <w:vAlign w:val="center"/>
          </w:tcPr>
          <w:p w14:paraId="4271C7E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3965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0F796C17">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嗅和味</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6973CCAA">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无</w:t>
            </w:r>
          </w:p>
        </w:tc>
        <w:tc>
          <w:tcPr>
            <w:tcW w:w="1368" w:type="pct"/>
            <w:vMerge w:val="continue"/>
            <w:tcBorders>
              <w:left w:val="single" w:color="auto" w:sz="4" w:space="0"/>
              <w:right w:val="single" w:color="auto" w:sz="4" w:space="0"/>
            </w:tcBorders>
            <w:shd w:val="clear" w:color="auto" w:fill="auto"/>
            <w:vAlign w:val="center"/>
          </w:tcPr>
          <w:p w14:paraId="2294238F">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1E75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43328AD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肉眼可见物</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79BA827F">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无</w:t>
            </w:r>
          </w:p>
        </w:tc>
        <w:tc>
          <w:tcPr>
            <w:tcW w:w="1368" w:type="pct"/>
            <w:vMerge w:val="continue"/>
            <w:tcBorders>
              <w:left w:val="single" w:color="auto" w:sz="4" w:space="0"/>
              <w:right w:val="single" w:color="auto" w:sz="4" w:space="0"/>
            </w:tcBorders>
            <w:shd w:val="clear" w:color="auto" w:fill="auto"/>
            <w:vAlign w:val="center"/>
          </w:tcPr>
          <w:p w14:paraId="650DEB64">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7CC1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4C4E48BF">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浑浊度（NTU）</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3292C39C">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≤10</w:t>
            </w:r>
          </w:p>
        </w:tc>
        <w:tc>
          <w:tcPr>
            <w:tcW w:w="1368" w:type="pct"/>
            <w:vMerge w:val="continue"/>
            <w:tcBorders>
              <w:left w:val="single" w:color="auto" w:sz="4" w:space="0"/>
              <w:right w:val="single" w:color="auto" w:sz="4" w:space="0"/>
            </w:tcBorders>
            <w:shd w:val="clear" w:color="auto" w:fill="auto"/>
            <w:vAlign w:val="center"/>
          </w:tcPr>
          <w:p w14:paraId="7746555A">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1F48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1D6C40FC">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总硬度（mg/L）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6B7E269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≤650</w:t>
            </w:r>
          </w:p>
        </w:tc>
        <w:tc>
          <w:tcPr>
            <w:tcW w:w="1368" w:type="pct"/>
            <w:vMerge w:val="continue"/>
            <w:tcBorders>
              <w:left w:val="single" w:color="auto" w:sz="4" w:space="0"/>
              <w:right w:val="single" w:color="auto" w:sz="4" w:space="0"/>
            </w:tcBorders>
            <w:shd w:val="clear" w:color="auto" w:fill="auto"/>
            <w:vAlign w:val="center"/>
          </w:tcPr>
          <w:p w14:paraId="51C54B9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9D8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5E6080DF">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总大肠菌群</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53F5DD0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≤100</w:t>
            </w:r>
          </w:p>
        </w:tc>
        <w:tc>
          <w:tcPr>
            <w:tcW w:w="1368" w:type="pct"/>
            <w:vMerge w:val="continue"/>
            <w:tcBorders>
              <w:left w:val="single" w:color="auto" w:sz="4" w:space="0"/>
              <w:right w:val="single" w:color="auto" w:sz="4" w:space="0"/>
            </w:tcBorders>
            <w:shd w:val="clear" w:color="auto" w:fill="auto"/>
            <w:vAlign w:val="center"/>
          </w:tcPr>
          <w:p w14:paraId="074F4B0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12A3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4CDFA2B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菌落总数</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391FE2D3">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≤1000</w:t>
            </w:r>
          </w:p>
        </w:tc>
        <w:tc>
          <w:tcPr>
            <w:tcW w:w="1368" w:type="pct"/>
            <w:vMerge w:val="continue"/>
            <w:tcBorders>
              <w:left w:val="single" w:color="auto" w:sz="4" w:space="0"/>
              <w:right w:val="single" w:color="auto" w:sz="4" w:space="0"/>
            </w:tcBorders>
            <w:shd w:val="clear" w:color="auto" w:fill="auto"/>
            <w:vAlign w:val="center"/>
          </w:tcPr>
          <w:p w14:paraId="7FAFB46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5019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6F7FB8B8">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溶解性总固体（mg/L）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52A42328">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≤2000</w:t>
            </w:r>
          </w:p>
        </w:tc>
        <w:tc>
          <w:tcPr>
            <w:tcW w:w="1368" w:type="pct"/>
            <w:vMerge w:val="continue"/>
            <w:tcBorders>
              <w:left w:val="single" w:color="auto" w:sz="4" w:space="0"/>
              <w:right w:val="single" w:color="auto" w:sz="4" w:space="0"/>
            </w:tcBorders>
            <w:shd w:val="clear" w:color="auto" w:fill="auto"/>
            <w:vAlign w:val="center"/>
          </w:tcPr>
          <w:p w14:paraId="2464BB1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78C8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6ACD363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阴离子表面活性剂（mg/L）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310597F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≤0.3</w:t>
            </w:r>
          </w:p>
        </w:tc>
        <w:tc>
          <w:tcPr>
            <w:tcW w:w="1368" w:type="pct"/>
            <w:vMerge w:val="continue"/>
            <w:tcBorders>
              <w:left w:val="single" w:color="auto" w:sz="4" w:space="0"/>
              <w:right w:val="single" w:color="auto" w:sz="4" w:space="0"/>
            </w:tcBorders>
            <w:shd w:val="clear" w:color="auto" w:fill="auto"/>
            <w:vAlign w:val="center"/>
          </w:tcPr>
          <w:p w14:paraId="784B9BFD">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6196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3798309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硫酸盐（mg/L）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11D3AFDA">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≤350</w:t>
            </w:r>
          </w:p>
        </w:tc>
        <w:tc>
          <w:tcPr>
            <w:tcW w:w="1368" w:type="pct"/>
            <w:vMerge w:val="continue"/>
            <w:tcBorders>
              <w:left w:val="single" w:color="auto" w:sz="4" w:space="0"/>
              <w:right w:val="single" w:color="auto" w:sz="4" w:space="0"/>
            </w:tcBorders>
            <w:shd w:val="clear" w:color="auto" w:fill="auto"/>
            <w:vAlign w:val="center"/>
          </w:tcPr>
          <w:p w14:paraId="169A2F3D">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2ED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03B5E02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氰化物（mg/L）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10D0CA7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≤0.05</w:t>
            </w:r>
          </w:p>
        </w:tc>
        <w:tc>
          <w:tcPr>
            <w:tcW w:w="1368" w:type="pct"/>
            <w:vMerge w:val="continue"/>
            <w:tcBorders>
              <w:left w:val="single" w:color="auto" w:sz="4" w:space="0"/>
              <w:right w:val="single" w:color="auto" w:sz="4" w:space="0"/>
            </w:tcBorders>
            <w:shd w:val="clear" w:color="auto" w:fill="auto"/>
            <w:vAlign w:val="center"/>
          </w:tcPr>
          <w:p w14:paraId="53AEA852">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0E93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17F037F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碘化物（mg/L）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5623B13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≤0.5</w:t>
            </w:r>
          </w:p>
        </w:tc>
        <w:tc>
          <w:tcPr>
            <w:tcW w:w="1368" w:type="pct"/>
            <w:vMerge w:val="continue"/>
            <w:tcBorders>
              <w:left w:val="single" w:color="auto" w:sz="4" w:space="0"/>
              <w:right w:val="single" w:color="auto" w:sz="4" w:space="0"/>
            </w:tcBorders>
            <w:shd w:val="clear" w:color="auto" w:fill="auto"/>
            <w:vAlign w:val="center"/>
          </w:tcPr>
          <w:p w14:paraId="6C937354">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6809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08D0F11D">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氯化物（mg/L）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7AC7313C">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≤350</w:t>
            </w:r>
          </w:p>
        </w:tc>
        <w:tc>
          <w:tcPr>
            <w:tcW w:w="1368" w:type="pct"/>
            <w:vMerge w:val="continue"/>
            <w:tcBorders>
              <w:left w:val="single" w:color="auto" w:sz="4" w:space="0"/>
              <w:right w:val="single" w:color="auto" w:sz="4" w:space="0"/>
            </w:tcBorders>
            <w:shd w:val="clear" w:color="auto" w:fill="auto"/>
            <w:vAlign w:val="center"/>
          </w:tcPr>
          <w:p w14:paraId="2DE91CB1">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3576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026FAD03">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氨氮（mg/L）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72B7775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≤1.5</w:t>
            </w:r>
          </w:p>
        </w:tc>
        <w:tc>
          <w:tcPr>
            <w:tcW w:w="1368" w:type="pct"/>
            <w:vMerge w:val="continue"/>
            <w:tcBorders>
              <w:left w:val="single" w:color="auto" w:sz="4" w:space="0"/>
              <w:right w:val="single" w:color="auto" w:sz="4" w:space="0"/>
            </w:tcBorders>
            <w:shd w:val="clear" w:color="auto" w:fill="auto"/>
            <w:vAlign w:val="center"/>
          </w:tcPr>
          <w:p w14:paraId="26DCB3D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6CF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2C6E2E79">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耗氧量（COD</w:t>
            </w:r>
            <w:r>
              <w:rPr>
                <w:rFonts w:hint="default" w:ascii="Times New Roman" w:hAnsi="Times New Roman" w:cs="Times New Roman" w:eastAsiaTheme="majorEastAsia"/>
                <w:b w:val="0"/>
                <w:bCs/>
                <w:color w:val="auto"/>
                <w:sz w:val="21"/>
                <w:highlight w:val="none"/>
                <w:vertAlign w:val="subscript"/>
              </w:rPr>
              <w:t>Mn</w:t>
            </w:r>
            <w:r>
              <w:rPr>
                <w:rFonts w:hint="default" w:ascii="Times New Roman" w:hAnsi="Times New Roman" w:cs="Times New Roman" w:eastAsiaTheme="majorEastAsia"/>
                <w:b w:val="0"/>
                <w:bCs/>
                <w:color w:val="auto"/>
                <w:sz w:val="21"/>
                <w:highlight w:val="none"/>
              </w:rPr>
              <w:t>）（mg/L）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0043008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≤10</w:t>
            </w:r>
          </w:p>
        </w:tc>
        <w:tc>
          <w:tcPr>
            <w:tcW w:w="1368" w:type="pct"/>
            <w:vMerge w:val="continue"/>
            <w:tcBorders>
              <w:left w:val="single" w:color="auto" w:sz="4" w:space="0"/>
              <w:right w:val="single" w:color="auto" w:sz="4" w:space="0"/>
            </w:tcBorders>
            <w:shd w:val="clear" w:color="auto" w:fill="auto"/>
            <w:vAlign w:val="center"/>
          </w:tcPr>
          <w:p w14:paraId="38B2A9A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56C0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6B2706A2">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挥发性酚类（以苯酚计）/（mg/L）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0A77FD6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≤0.01</w:t>
            </w:r>
          </w:p>
        </w:tc>
        <w:tc>
          <w:tcPr>
            <w:tcW w:w="1368" w:type="pct"/>
            <w:vMerge w:val="continue"/>
            <w:tcBorders>
              <w:left w:val="single" w:color="auto" w:sz="4" w:space="0"/>
              <w:right w:val="single" w:color="auto" w:sz="4" w:space="0"/>
            </w:tcBorders>
            <w:shd w:val="clear" w:color="auto" w:fill="auto"/>
            <w:vAlign w:val="center"/>
          </w:tcPr>
          <w:p w14:paraId="1D3112C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249B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14C0947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硫化物（mg/L）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100C3944">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≤0.1</w:t>
            </w:r>
          </w:p>
        </w:tc>
        <w:tc>
          <w:tcPr>
            <w:tcW w:w="1368" w:type="pct"/>
            <w:vMerge w:val="continue"/>
            <w:tcBorders>
              <w:left w:val="single" w:color="auto" w:sz="4" w:space="0"/>
              <w:right w:val="single" w:color="auto" w:sz="4" w:space="0"/>
            </w:tcBorders>
            <w:shd w:val="clear" w:color="auto" w:fill="auto"/>
            <w:vAlign w:val="center"/>
          </w:tcPr>
          <w:p w14:paraId="0CF5AA32">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68BC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1ECCC0C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亚硝酸盐（以N计）</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47CD882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≤4.8</w:t>
            </w:r>
          </w:p>
        </w:tc>
        <w:tc>
          <w:tcPr>
            <w:tcW w:w="1368" w:type="pct"/>
            <w:vMerge w:val="continue"/>
            <w:tcBorders>
              <w:left w:val="single" w:color="auto" w:sz="4" w:space="0"/>
              <w:right w:val="single" w:color="auto" w:sz="4" w:space="0"/>
            </w:tcBorders>
            <w:shd w:val="clear" w:color="auto" w:fill="auto"/>
            <w:vAlign w:val="center"/>
          </w:tcPr>
          <w:p w14:paraId="1BB8DA3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711A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7EBE96F3">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硝酸盐（以N计）（mg/L）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67633E8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≤30</w:t>
            </w:r>
          </w:p>
        </w:tc>
        <w:tc>
          <w:tcPr>
            <w:tcW w:w="1368" w:type="pct"/>
            <w:vMerge w:val="continue"/>
            <w:tcBorders>
              <w:left w:val="single" w:color="auto" w:sz="4" w:space="0"/>
              <w:right w:val="single" w:color="auto" w:sz="4" w:space="0"/>
            </w:tcBorders>
            <w:shd w:val="clear" w:color="auto" w:fill="auto"/>
            <w:vAlign w:val="center"/>
          </w:tcPr>
          <w:p w14:paraId="10AE0A99">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C53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0C898A30">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四氯化碳（μg/L）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406B915C">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≤50</w:t>
            </w:r>
          </w:p>
        </w:tc>
        <w:tc>
          <w:tcPr>
            <w:tcW w:w="1368" w:type="pct"/>
            <w:vMerge w:val="continue"/>
            <w:tcBorders>
              <w:left w:val="single" w:color="auto" w:sz="4" w:space="0"/>
              <w:right w:val="single" w:color="auto" w:sz="4" w:space="0"/>
            </w:tcBorders>
            <w:shd w:val="clear" w:color="auto" w:fill="auto"/>
            <w:vAlign w:val="center"/>
          </w:tcPr>
          <w:p w14:paraId="3EEEB986">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5890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53F19D68">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氯仿（</w:t>
            </w:r>
            <w:r>
              <w:rPr>
                <w:rFonts w:hint="default" w:ascii="Times New Roman" w:hAnsi="Times New Roman" w:cs="Times New Roman" w:eastAsiaTheme="majorEastAsia"/>
                <w:b w:val="0"/>
                <w:bCs/>
                <w:color w:val="auto"/>
                <w:sz w:val="21"/>
                <w:highlight w:val="none"/>
                <w:shd w:val="clear" w:color="auto" w:fill="FFFFFF"/>
              </w:rPr>
              <w:t>μg</w:t>
            </w:r>
            <w:r>
              <w:rPr>
                <w:rFonts w:hint="default" w:ascii="Times New Roman" w:hAnsi="Times New Roman" w:cs="Times New Roman" w:eastAsiaTheme="majorEastAsia"/>
                <w:b w:val="0"/>
                <w:bCs/>
                <w:color w:val="auto"/>
                <w:sz w:val="21"/>
                <w:highlight w:val="none"/>
              </w:rPr>
              <w:t>/L）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3E8FFD12">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≤300</w:t>
            </w:r>
          </w:p>
        </w:tc>
        <w:tc>
          <w:tcPr>
            <w:tcW w:w="1368" w:type="pct"/>
            <w:vMerge w:val="continue"/>
            <w:tcBorders>
              <w:left w:val="single" w:color="auto" w:sz="4" w:space="0"/>
              <w:right w:val="single" w:color="auto" w:sz="4" w:space="0"/>
            </w:tcBorders>
            <w:shd w:val="clear" w:color="auto" w:fill="auto"/>
            <w:vAlign w:val="center"/>
          </w:tcPr>
          <w:p w14:paraId="07563D2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1EF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4838641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甲苯（μg/L）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0EFB80B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≤1400</w:t>
            </w:r>
          </w:p>
        </w:tc>
        <w:tc>
          <w:tcPr>
            <w:tcW w:w="1368" w:type="pct"/>
            <w:vMerge w:val="continue"/>
            <w:tcBorders>
              <w:left w:val="single" w:color="auto" w:sz="4" w:space="0"/>
              <w:right w:val="single" w:color="auto" w:sz="4" w:space="0"/>
            </w:tcBorders>
            <w:shd w:val="clear" w:color="auto" w:fill="auto"/>
            <w:vAlign w:val="center"/>
          </w:tcPr>
          <w:p w14:paraId="2FFB663A">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79CB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54F8CEA4">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苯（μg/L）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5CA58501">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≤120</w:t>
            </w:r>
          </w:p>
        </w:tc>
        <w:tc>
          <w:tcPr>
            <w:tcW w:w="1368" w:type="pct"/>
            <w:vMerge w:val="continue"/>
            <w:tcBorders>
              <w:left w:val="single" w:color="auto" w:sz="4" w:space="0"/>
              <w:right w:val="single" w:color="auto" w:sz="4" w:space="0"/>
            </w:tcBorders>
            <w:shd w:val="clear" w:color="auto" w:fill="auto"/>
            <w:vAlign w:val="center"/>
          </w:tcPr>
          <w:p w14:paraId="0791E891">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FE0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07150271">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氟化物（mg/L）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74829453">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≤2</w:t>
            </w:r>
          </w:p>
        </w:tc>
        <w:tc>
          <w:tcPr>
            <w:tcW w:w="1368" w:type="pct"/>
            <w:vMerge w:val="continue"/>
            <w:tcBorders>
              <w:left w:val="single" w:color="auto" w:sz="4" w:space="0"/>
              <w:right w:val="single" w:color="auto" w:sz="4" w:space="0"/>
            </w:tcBorders>
            <w:shd w:val="clear" w:color="auto" w:fill="auto"/>
            <w:vAlign w:val="center"/>
          </w:tcPr>
          <w:p w14:paraId="62DB6D88">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7E15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47E499BE">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lang w:val="en-US" w:eastAsia="zh-CN"/>
              </w:rPr>
              <w:t>偏氯乙烯（1</w:t>
            </w:r>
            <w:r>
              <w:rPr>
                <w:rFonts w:hint="eastAsia" w:cs="Times New Roman" w:eastAsiaTheme="majorEastAsia"/>
                <w:b w:val="0"/>
                <w:bCs/>
                <w:color w:val="auto"/>
                <w:sz w:val="21"/>
                <w:highlight w:val="none"/>
                <w:lang w:val="en-US" w:eastAsia="zh-CN"/>
              </w:rPr>
              <w:t>，</w:t>
            </w:r>
            <w:r>
              <w:rPr>
                <w:rFonts w:hint="default" w:ascii="Times New Roman" w:hAnsi="Times New Roman" w:cs="Times New Roman" w:eastAsiaTheme="majorEastAsia"/>
                <w:b w:val="0"/>
                <w:bCs/>
                <w:color w:val="auto"/>
                <w:sz w:val="21"/>
                <w:highlight w:val="none"/>
                <w:lang w:val="en-US" w:eastAsia="zh-CN"/>
              </w:rPr>
              <w:t>1-二氯乙烯）</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17ED7563">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w:t>
            </w:r>
            <w:r>
              <w:rPr>
                <w:rFonts w:hint="default" w:ascii="Times New Roman" w:hAnsi="Times New Roman" w:cs="Times New Roman" w:eastAsiaTheme="majorEastAsia"/>
                <w:b w:val="0"/>
                <w:bCs/>
                <w:color w:val="auto"/>
                <w:sz w:val="21"/>
                <w:highlight w:val="none"/>
                <w:lang w:val="en-US" w:eastAsia="zh-CN"/>
              </w:rPr>
              <w:t>60</w:t>
            </w:r>
          </w:p>
        </w:tc>
        <w:tc>
          <w:tcPr>
            <w:tcW w:w="1368" w:type="pct"/>
            <w:vMerge w:val="continue"/>
            <w:tcBorders>
              <w:left w:val="single" w:color="auto" w:sz="4" w:space="0"/>
              <w:right w:val="single" w:color="auto" w:sz="4" w:space="0"/>
            </w:tcBorders>
            <w:shd w:val="clear" w:color="auto" w:fill="auto"/>
            <w:vAlign w:val="center"/>
          </w:tcPr>
          <w:p w14:paraId="1EDA864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2B2E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5E61AAF1">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lang w:val="en-US" w:eastAsia="zh-CN"/>
              </w:rPr>
              <w:t>三氯乙烷</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45160BD1">
            <w:pPr>
              <w:spacing w:line="240" w:lineRule="atLeast"/>
              <w:ind w:firstLine="0" w:firstLineChars="0"/>
              <w:jc w:val="center"/>
              <w:rPr>
                <w:rFonts w:hint="default" w:ascii="Times New Roman" w:hAnsi="Times New Roman" w:cs="Times New Roman" w:eastAsiaTheme="majorEastAsia"/>
                <w:b w:val="0"/>
                <w:bCs/>
                <w:color w:val="auto"/>
                <w:sz w:val="21"/>
                <w:highlight w:val="none"/>
              </w:rPr>
            </w:pPr>
            <w:r>
              <w:rPr>
                <w:rFonts w:hint="default" w:ascii="Times New Roman" w:hAnsi="Times New Roman" w:cs="Times New Roman" w:eastAsiaTheme="majorEastAsia"/>
                <w:b w:val="0"/>
                <w:bCs/>
                <w:color w:val="auto"/>
                <w:sz w:val="21"/>
                <w:highlight w:val="none"/>
              </w:rPr>
              <w:t>≤</w:t>
            </w:r>
            <w:r>
              <w:rPr>
                <w:rFonts w:hint="default" w:ascii="Times New Roman" w:hAnsi="Times New Roman" w:cs="Times New Roman" w:eastAsiaTheme="majorEastAsia"/>
                <w:b w:val="0"/>
                <w:bCs/>
                <w:color w:val="auto"/>
                <w:sz w:val="21"/>
                <w:highlight w:val="none"/>
                <w:lang w:val="en-US" w:eastAsia="zh-CN"/>
              </w:rPr>
              <w:t>4000（</w:t>
            </w:r>
            <w:r>
              <w:rPr>
                <w:rFonts w:hint="default" w:ascii="Times New Roman" w:hAnsi="Times New Roman"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1-三氯乙烷</w:t>
            </w:r>
            <w:r>
              <w:rPr>
                <w:rFonts w:hint="default" w:ascii="Times New Roman" w:hAnsi="Times New Roman" w:cs="Times New Roman" w:eastAsiaTheme="majorEastAsia"/>
                <w:b w:val="0"/>
                <w:bCs/>
                <w:color w:val="auto"/>
                <w:sz w:val="21"/>
                <w:highlight w:val="none"/>
                <w:lang w:val="en-US" w:eastAsia="zh-CN"/>
              </w:rPr>
              <w:t>）/</w:t>
            </w:r>
            <w:r>
              <w:rPr>
                <w:rFonts w:hint="default" w:ascii="Times New Roman" w:hAnsi="Times New Roman" w:cs="Times New Roman" w:eastAsiaTheme="majorEastAsia"/>
                <w:b w:val="0"/>
                <w:bCs/>
                <w:color w:val="auto"/>
                <w:sz w:val="21"/>
                <w:highlight w:val="none"/>
              </w:rPr>
              <w:t>≤</w:t>
            </w:r>
            <w:r>
              <w:rPr>
                <w:rFonts w:hint="default" w:ascii="Times New Roman" w:hAnsi="Times New Roman" w:cs="Times New Roman" w:eastAsiaTheme="majorEastAsia"/>
                <w:b w:val="0"/>
                <w:bCs/>
                <w:color w:val="auto"/>
                <w:sz w:val="21"/>
                <w:highlight w:val="none"/>
                <w:lang w:val="en-US" w:eastAsia="zh-CN"/>
              </w:rPr>
              <w:t>60（</w:t>
            </w:r>
            <w:r>
              <w:rPr>
                <w:rFonts w:hint="default" w:ascii="Times New Roman" w:hAnsi="Times New Roman"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2-三氯乙烷</w:t>
            </w:r>
            <w:r>
              <w:rPr>
                <w:rFonts w:hint="default" w:ascii="Times New Roman" w:hAnsi="Times New Roman" w:cs="Times New Roman" w:eastAsiaTheme="majorEastAsia"/>
                <w:b w:val="0"/>
                <w:bCs/>
                <w:color w:val="auto"/>
                <w:sz w:val="21"/>
                <w:highlight w:val="none"/>
                <w:lang w:val="en-US" w:eastAsia="zh-CN"/>
              </w:rPr>
              <w:t>）</w:t>
            </w:r>
          </w:p>
        </w:tc>
        <w:tc>
          <w:tcPr>
            <w:tcW w:w="1368" w:type="pct"/>
            <w:vMerge w:val="continue"/>
            <w:tcBorders>
              <w:left w:val="single" w:color="auto" w:sz="4" w:space="0"/>
              <w:right w:val="single" w:color="auto" w:sz="4" w:space="0"/>
            </w:tcBorders>
            <w:shd w:val="clear" w:color="auto" w:fill="auto"/>
            <w:vAlign w:val="center"/>
          </w:tcPr>
          <w:p w14:paraId="4988D4F7">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451E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0B50144A">
            <w:pPr>
              <w:spacing w:line="240" w:lineRule="atLeast"/>
              <w:ind w:firstLine="0" w:firstLineChars="0"/>
              <w:jc w:val="center"/>
              <w:rPr>
                <w:rFonts w:hint="default" w:ascii="Times New Roman" w:hAnsi="Times New Roman" w:cs="Times New Roman" w:eastAsiaTheme="majorEastAsia"/>
                <w:b w:val="0"/>
                <w:bCs/>
                <w:color w:val="auto"/>
                <w:sz w:val="21"/>
                <w:highlight w:val="none"/>
                <w:lang w:val="en-US" w:eastAsia="zh-CN"/>
              </w:rPr>
            </w:pPr>
            <w:r>
              <w:rPr>
                <w:rFonts w:hint="default" w:ascii="Times New Roman" w:hAnsi="Times New Roman" w:cs="Times New Roman" w:eastAsiaTheme="majorEastAsia"/>
                <w:b w:val="0"/>
                <w:bCs/>
                <w:color w:val="auto"/>
                <w:sz w:val="21"/>
                <w:highlight w:val="none"/>
                <w:lang w:val="en-US" w:eastAsia="zh-CN"/>
              </w:rPr>
              <w:t>石油类</w:t>
            </w:r>
            <w:r>
              <w:rPr>
                <w:rFonts w:hint="default" w:ascii="Times New Roman" w:hAnsi="Times New Roman" w:cs="Times New Roman" w:eastAsiaTheme="majorEastAsia"/>
                <w:b w:val="0"/>
                <w:bCs/>
                <w:color w:val="auto"/>
                <w:sz w:val="21"/>
                <w:highlight w:val="none"/>
              </w:rPr>
              <w:t>（mg/L）</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111B5EA4">
            <w:pPr>
              <w:spacing w:line="240" w:lineRule="atLeast"/>
              <w:ind w:firstLine="0" w:firstLineChars="0"/>
              <w:jc w:val="center"/>
              <w:rPr>
                <w:rFonts w:hint="default" w:ascii="Times New Roman" w:hAnsi="Times New Roman" w:cs="Times New Roman" w:eastAsiaTheme="majorEastAsia"/>
                <w:b w:val="0"/>
                <w:bCs/>
                <w:color w:val="auto"/>
                <w:sz w:val="21"/>
                <w:highlight w:val="none"/>
                <w:lang w:val="en-US" w:eastAsia="zh-CN"/>
              </w:rPr>
            </w:pPr>
            <w:r>
              <w:rPr>
                <w:rFonts w:hint="default" w:ascii="Times New Roman" w:hAnsi="Times New Roman" w:cs="Times New Roman" w:eastAsiaTheme="majorEastAsia"/>
                <w:b w:val="0"/>
                <w:bCs/>
                <w:color w:val="auto"/>
                <w:sz w:val="21"/>
                <w:highlight w:val="none"/>
                <w:lang w:val="en-US" w:eastAsia="zh-CN"/>
              </w:rPr>
              <w:t>1.2</w:t>
            </w:r>
          </w:p>
        </w:tc>
        <w:tc>
          <w:tcPr>
            <w:tcW w:w="1368" w:type="pct"/>
            <w:tcBorders>
              <w:left w:val="single" w:color="auto" w:sz="4" w:space="0"/>
              <w:right w:val="single" w:color="auto" w:sz="4" w:space="0"/>
            </w:tcBorders>
            <w:shd w:val="clear" w:color="auto" w:fill="auto"/>
            <w:vAlign w:val="center"/>
          </w:tcPr>
          <w:p w14:paraId="2007F907">
            <w:pPr>
              <w:spacing w:line="240" w:lineRule="atLeast"/>
              <w:ind w:firstLine="0" w:firstLineChars="0"/>
              <w:jc w:val="center"/>
              <w:rPr>
                <w:rFonts w:hint="default" w:ascii="Times New Roman" w:hAnsi="Times New Roman" w:cs="Times New Roman" w:eastAsiaTheme="majorEastAsia"/>
                <w:b w:val="0"/>
                <w:bCs/>
                <w:color w:val="auto"/>
                <w:sz w:val="21"/>
                <w:highlight w:val="none"/>
                <w:lang w:val="en-US" w:eastAsia="zh-CN"/>
              </w:rPr>
            </w:pPr>
            <w:r>
              <w:rPr>
                <w:rFonts w:hint="default" w:ascii="Times New Roman" w:hAnsi="Times New Roman" w:cs="Times New Roman" w:eastAsiaTheme="majorEastAsia"/>
                <w:b w:val="0"/>
                <w:bCs/>
                <w:color w:val="auto"/>
                <w:sz w:val="21"/>
                <w:highlight w:val="none"/>
                <w:lang w:val="en-US" w:eastAsia="zh-CN"/>
              </w:rPr>
              <w:t>上海市地方标准</w:t>
            </w:r>
          </w:p>
        </w:tc>
      </w:tr>
      <w:tr w14:paraId="11E9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360F38A1">
            <w:pPr>
              <w:spacing w:line="240" w:lineRule="atLeast"/>
              <w:ind w:firstLine="0" w:firstLineChars="0"/>
              <w:jc w:val="center"/>
              <w:rPr>
                <w:rFonts w:hint="default" w:ascii="Times New Roman" w:hAnsi="Times New Roman" w:cs="Times New Roman" w:eastAsiaTheme="majorEastAsia"/>
                <w:b w:val="0"/>
                <w:bCs/>
                <w:color w:val="auto"/>
                <w:sz w:val="21"/>
                <w:highlight w:val="none"/>
                <w:lang w:val="en-US" w:eastAsia="zh-CN"/>
              </w:rPr>
            </w:pPr>
            <w:r>
              <w:rPr>
                <w:rFonts w:hint="default" w:ascii="Times New Roman" w:hAnsi="Times New Roman" w:cs="Times New Roman" w:eastAsiaTheme="majorEastAsia"/>
                <w:b w:val="0"/>
                <w:bCs/>
                <w:color w:val="auto"/>
                <w:sz w:val="21"/>
                <w:highlight w:val="none"/>
              </w:rPr>
              <w:t>1</w:t>
            </w:r>
            <w:r>
              <w:rPr>
                <w:rFonts w:hint="eastAsia" w:cs="Times New Roman" w:eastAsiaTheme="majorEastAsia"/>
                <w:b w:val="0"/>
                <w:bCs/>
                <w:color w:val="auto"/>
                <w:sz w:val="21"/>
                <w:highlight w:val="none"/>
                <w:lang w:eastAsia="zh-CN"/>
              </w:rPr>
              <w:t>，</w:t>
            </w:r>
            <w:r>
              <w:rPr>
                <w:rFonts w:hint="default" w:ascii="Times New Roman" w:hAnsi="Times New Roman" w:cs="Times New Roman" w:eastAsiaTheme="majorEastAsia"/>
                <w:b w:val="0"/>
                <w:bCs/>
                <w:color w:val="auto"/>
                <w:sz w:val="21"/>
                <w:highlight w:val="none"/>
              </w:rPr>
              <w:t>1-二氯-1-氟乙烷</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280C07E5">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c>
          <w:tcPr>
            <w:tcW w:w="1368" w:type="pct"/>
            <w:tcBorders>
              <w:left w:val="single" w:color="auto" w:sz="4" w:space="0"/>
              <w:right w:val="single" w:color="auto" w:sz="4" w:space="0"/>
            </w:tcBorders>
            <w:shd w:val="clear" w:color="auto" w:fill="auto"/>
            <w:vAlign w:val="center"/>
          </w:tcPr>
          <w:p w14:paraId="7BB46DE4">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r w14:paraId="103B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4" w:type="pct"/>
            <w:tcBorders>
              <w:top w:val="single" w:color="auto" w:sz="4" w:space="0"/>
              <w:left w:val="single" w:color="auto" w:sz="4" w:space="0"/>
              <w:bottom w:val="single" w:color="auto" w:sz="4" w:space="0"/>
              <w:right w:val="single" w:color="auto" w:sz="4" w:space="0"/>
            </w:tcBorders>
            <w:shd w:val="clear" w:color="auto" w:fill="auto"/>
            <w:vAlign w:val="center"/>
          </w:tcPr>
          <w:p w14:paraId="5777D0AA">
            <w:pPr>
              <w:spacing w:line="240" w:lineRule="atLeast"/>
              <w:ind w:firstLine="0" w:firstLineChars="0"/>
              <w:jc w:val="center"/>
              <w:rPr>
                <w:rFonts w:hint="default" w:ascii="Times New Roman" w:hAnsi="Times New Roman" w:cs="Times New Roman" w:eastAsiaTheme="majorEastAsia"/>
                <w:b w:val="0"/>
                <w:bCs/>
                <w:color w:val="auto"/>
                <w:sz w:val="21"/>
                <w:highlight w:val="none"/>
                <w:lang w:val="en-US" w:eastAsia="zh-CN"/>
              </w:rPr>
            </w:pPr>
            <w:r>
              <w:rPr>
                <w:rFonts w:hint="default" w:ascii="Times New Roman" w:hAnsi="Times New Roman" w:cs="Times New Roman" w:eastAsiaTheme="majorEastAsia"/>
                <w:b w:val="0"/>
                <w:bCs/>
                <w:color w:val="auto"/>
                <w:sz w:val="21"/>
                <w:highlight w:val="none"/>
              </w:rPr>
              <w:t>一氯二氟乙烷</w:t>
            </w:r>
          </w:p>
        </w:tc>
        <w:tc>
          <w:tcPr>
            <w:tcW w:w="1696" w:type="pct"/>
            <w:tcBorders>
              <w:top w:val="single" w:color="auto" w:sz="4" w:space="0"/>
              <w:left w:val="single" w:color="auto" w:sz="4" w:space="0"/>
              <w:bottom w:val="single" w:color="auto" w:sz="4" w:space="0"/>
              <w:right w:val="single" w:color="auto" w:sz="4" w:space="0"/>
            </w:tcBorders>
            <w:shd w:val="clear" w:color="auto" w:fill="auto"/>
            <w:vAlign w:val="center"/>
          </w:tcPr>
          <w:p w14:paraId="2A13B0A2">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c>
          <w:tcPr>
            <w:tcW w:w="1368" w:type="pct"/>
            <w:tcBorders>
              <w:left w:val="single" w:color="auto" w:sz="4" w:space="0"/>
              <w:right w:val="single" w:color="auto" w:sz="4" w:space="0"/>
            </w:tcBorders>
            <w:shd w:val="clear" w:color="auto" w:fill="auto"/>
            <w:vAlign w:val="center"/>
          </w:tcPr>
          <w:p w14:paraId="7364C45B">
            <w:pPr>
              <w:spacing w:line="240" w:lineRule="atLeast"/>
              <w:ind w:firstLine="0" w:firstLineChars="0"/>
              <w:jc w:val="center"/>
              <w:rPr>
                <w:rFonts w:hint="default" w:ascii="Times New Roman" w:hAnsi="Times New Roman" w:cs="Times New Roman" w:eastAsiaTheme="majorEastAsia"/>
                <w:b w:val="0"/>
                <w:bCs/>
                <w:color w:val="auto"/>
                <w:sz w:val="21"/>
                <w:highlight w:val="none"/>
              </w:rPr>
            </w:pPr>
          </w:p>
        </w:tc>
      </w:tr>
    </w:tbl>
    <w:p w14:paraId="6F45CC94">
      <w:pPr>
        <w:pStyle w:val="5"/>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5.2.4.</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w:t>
      </w:r>
      <w:bookmarkStart w:id="210" w:name="_Toc15329"/>
      <w:bookmarkStart w:id="211" w:name="_Toc2779"/>
      <w:r>
        <w:rPr>
          <w:rFonts w:hint="default" w:ascii="Times New Roman" w:hAnsi="Times New Roman" w:eastAsia="宋体" w:cs="Times New Roman"/>
          <w:color w:val="auto"/>
          <w:highlight w:val="none"/>
        </w:rPr>
        <w:t>质量保证和质量控制</w:t>
      </w:r>
      <w:bookmarkEnd w:id="210"/>
      <w:bookmarkEnd w:id="211"/>
    </w:p>
    <w:p w14:paraId="5C442FFF">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1、现场工作质量保证</w:t>
      </w:r>
    </w:p>
    <w:p w14:paraId="556EAAD0">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（1）现场采样</w:t>
      </w:r>
    </w:p>
    <w:p w14:paraId="6D76FC88">
      <w:pPr>
        <w:bidi w:val="0"/>
        <w:rPr>
          <w:rFonts w:hint="default"/>
        </w:rPr>
      </w:pPr>
      <w:r>
        <w:rPr>
          <w:rFonts w:hint="default"/>
        </w:rPr>
        <w:t>现场采样人员首先采用RTK进行精准定位，确定采样点位的准确性。</w:t>
      </w:r>
    </w:p>
    <w:p w14:paraId="0D5BF651">
      <w:pPr>
        <w:bidi w:val="0"/>
        <w:rPr>
          <w:rFonts w:hint="default"/>
        </w:rPr>
      </w:pPr>
      <w:r>
        <w:rPr>
          <w:rFonts w:hint="default"/>
        </w:rPr>
        <w:t>现场采样人员按照土壤相关采样技术规范或方法开展各类样品的采集工作，采样人员佩戴一次性丁腈手套进行操作。土壤采样按照采样计划、</w:t>
      </w:r>
      <w:r>
        <w:rPr>
          <w:rFonts w:hint="eastAsia"/>
          <w:lang w:eastAsia="zh-CN"/>
        </w:rPr>
        <w:t>《建设用地土壤污染状况调查技术导则》（HJ 25.1-2019）、《建设用地土壤污染风险管控和修复监测技术导则》（HJ 25.2-2019）、《</w:t>
      </w:r>
      <w:r>
        <w:rPr>
          <w:rFonts w:hint="default"/>
        </w:rPr>
        <w:t>全国土壤污染状况详查土壤样品分析测试方法技术规定</w:t>
      </w:r>
      <w:r>
        <w:rPr>
          <w:rFonts w:hint="eastAsia"/>
          <w:lang w:eastAsia="zh-CN"/>
        </w:rPr>
        <w:t>》、</w:t>
      </w:r>
      <w:r>
        <w:rPr>
          <w:rFonts w:hint="default"/>
        </w:rPr>
        <w:t>《土壤环境监测技术规范》（HJ/T 166-2004）等规范执行。本次采用</w:t>
      </w:r>
      <w:r>
        <w:rPr>
          <w:rFonts w:hint="default"/>
          <w:lang w:val="en-US" w:eastAsia="zh-CN"/>
        </w:rPr>
        <w:t>30钻以锤击的方式</w:t>
      </w:r>
      <w:r>
        <w:rPr>
          <w:rFonts w:hint="default"/>
        </w:rPr>
        <w:t>进行土壤取样，对土壤扰动较小，无交叉污染；</w:t>
      </w:r>
    </w:p>
    <w:p w14:paraId="471041F5">
      <w:pPr>
        <w:bidi w:val="0"/>
        <w:rPr>
          <w:rFonts w:hint="default"/>
          <w:lang w:val="en-US" w:eastAsia="zh-CN"/>
        </w:rPr>
      </w:pPr>
      <w:r>
        <w:rPr>
          <w:rFonts w:hint="default"/>
        </w:rPr>
        <w:t>现场采样人员按照</w:t>
      </w:r>
      <w:r>
        <w:rPr>
          <w:rFonts w:hint="eastAsia"/>
          <w:lang w:val="en-US" w:eastAsia="zh-CN"/>
        </w:rPr>
        <w:t>地下水相关采样技术规范</w:t>
      </w:r>
      <w:r>
        <w:rPr>
          <w:rFonts w:hint="default"/>
        </w:rPr>
        <w:t>或方法开展各类样品的采集工作，采样人员佩戴一次性丁腈手套进行操作</w:t>
      </w:r>
      <w:r>
        <w:rPr>
          <w:rFonts w:hint="eastAsia"/>
          <w:lang w:eastAsia="zh-CN"/>
        </w:rPr>
        <w:t>，</w:t>
      </w:r>
      <w:r>
        <w:rPr>
          <w:rFonts w:hint="eastAsia"/>
          <w:lang w:val="en-US" w:eastAsia="zh-CN"/>
        </w:rPr>
        <w:t>采用贝勒管进行样品采集</w:t>
      </w:r>
      <w:r>
        <w:rPr>
          <w:rFonts w:hint="default"/>
        </w:rPr>
        <w:t>。</w:t>
      </w:r>
      <w:r>
        <w:rPr>
          <w:rFonts w:hint="eastAsia"/>
          <w:lang w:val="en-US" w:eastAsia="zh-CN"/>
        </w:rPr>
        <w:t>地下水采样按照采样计划、</w:t>
      </w:r>
      <w:r>
        <w:rPr>
          <w:rFonts w:hint="eastAsia"/>
          <w:lang w:eastAsia="zh-CN"/>
        </w:rPr>
        <w:t>《建设用地土壤污染状况调查技术导则》（HJ 25.1-2019）、</w:t>
      </w:r>
      <w:r>
        <w:rPr>
          <w:rFonts w:hint="default"/>
        </w:rPr>
        <w:t>《地块土壤和地下水中挥发性有机物采样技术导则》</w:t>
      </w:r>
      <w:r>
        <w:rPr>
          <w:rFonts w:hint="eastAsia"/>
          <w:lang w:eastAsia="zh-CN"/>
        </w:rPr>
        <w:t>（</w:t>
      </w:r>
      <w:r>
        <w:rPr>
          <w:rFonts w:hint="default"/>
        </w:rPr>
        <w:t>HJ1019-2019</w:t>
      </w:r>
      <w:r>
        <w:rPr>
          <w:rFonts w:hint="eastAsia"/>
          <w:lang w:eastAsia="zh-CN"/>
        </w:rPr>
        <w:t>）、《全国土壤污染状况详查地下水样品分析测试方法技术规定》、《地下水环境监测技术规范》（HJ 164-2020）</w:t>
      </w:r>
      <w:r>
        <w:rPr>
          <w:rFonts w:hint="eastAsia"/>
          <w:lang w:val="en-US" w:eastAsia="zh-CN"/>
        </w:rPr>
        <w:t>等规范执行。</w:t>
      </w:r>
    </w:p>
    <w:p w14:paraId="22B65389">
      <w:pPr>
        <w:bidi w:val="0"/>
        <w:rPr>
          <w:rFonts w:hint="default"/>
          <w:lang w:val="en-US" w:eastAsia="zh-CN"/>
        </w:rPr>
      </w:pPr>
      <w:r>
        <w:rPr>
          <w:rFonts w:hint="default"/>
        </w:rPr>
        <w:t>土壤</w:t>
      </w:r>
      <w:r>
        <w:rPr>
          <w:rFonts w:hint="eastAsia"/>
          <w:lang w:val="en-US" w:eastAsia="zh-CN"/>
        </w:rPr>
        <w:t>及地下水</w:t>
      </w:r>
      <w:r>
        <w:rPr>
          <w:rFonts w:hint="default"/>
        </w:rPr>
        <w:t>采集过程中，现场专人负责样品的采集、记录和包装；记录包括采样日期、编号等情况，另有专人对采样过程、周边情况进行逐点拍照记录。所有样品在现场采集时均已足量采集，保证实验室分析用量及样品留样保存。</w:t>
      </w:r>
    </w:p>
    <w:p w14:paraId="2D12BAA5">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（2）样品流转</w:t>
      </w:r>
    </w:p>
    <w:p w14:paraId="00C8F0FD">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①</w:t>
      </w:r>
      <w:r>
        <w:rPr>
          <w:rFonts w:hint="default" w:ascii="Times New Roman" w:hAnsi="Times New Roman" w:eastAsia="宋体" w:cs="Times New Roman"/>
          <w:color w:val="auto"/>
          <w:szCs w:val="24"/>
          <w:highlight w:val="none"/>
        </w:rPr>
        <w:t>装运前核对</w:t>
      </w:r>
    </w:p>
    <w:p w14:paraId="48B376C6">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样品管理员和质量检查员负责样品装运前的核对，要求样品与采样记录单进行逐个核对，检查无误后分类装箱，并填写</w:t>
      </w:r>
      <w:r>
        <w:rPr>
          <w:rFonts w:hint="default" w:ascii="Times New Roman" w:hAnsi="Times New Roman" w:cs="Times New Roman"/>
          <w:color w:val="auto"/>
          <w:szCs w:val="24"/>
          <w:highlight w:val="none"/>
          <w:lang w:eastAsia="zh-CN"/>
        </w:rPr>
        <w:t>“</w:t>
      </w:r>
      <w:r>
        <w:rPr>
          <w:rFonts w:hint="default" w:ascii="Times New Roman" w:hAnsi="Times New Roman" w:eastAsia="宋体" w:cs="Times New Roman"/>
          <w:color w:val="auto"/>
          <w:szCs w:val="24"/>
          <w:highlight w:val="none"/>
        </w:rPr>
        <w:t>样品保存检查记录单</w:t>
      </w:r>
      <w:r>
        <w:rPr>
          <w:rFonts w:hint="default" w:ascii="Times New Roman" w:hAnsi="Times New Roman" w:cs="Times New Roman"/>
          <w:color w:val="auto"/>
          <w:szCs w:val="24"/>
          <w:highlight w:val="none"/>
          <w:lang w:eastAsia="zh-CN"/>
        </w:rPr>
        <w:t>”</w:t>
      </w:r>
      <w:r>
        <w:rPr>
          <w:rFonts w:hint="default" w:ascii="Times New Roman" w:hAnsi="Times New Roman" w:eastAsia="宋体" w:cs="Times New Roman"/>
          <w:color w:val="auto"/>
          <w:szCs w:val="24"/>
          <w:highlight w:val="none"/>
        </w:rPr>
        <w:t>。如果核对结果发现异常，应及时查明原因，由样品管理员向组长进行报告并记录。</w:t>
      </w:r>
    </w:p>
    <w:p w14:paraId="53F00DE8">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样品装运前，填写</w:t>
      </w:r>
      <w:r>
        <w:rPr>
          <w:rFonts w:hint="default" w:ascii="Times New Roman" w:hAnsi="Times New Roman" w:cs="Times New Roman"/>
          <w:color w:val="auto"/>
          <w:szCs w:val="24"/>
          <w:highlight w:val="none"/>
          <w:lang w:eastAsia="zh-CN"/>
        </w:rPr>
        <w:t>“</w:t>
      </w:r>
      <w:r>
        <w:rPr>
          <w:rFonts w:hint="default" w:ascii="Times New Roman" w:hAnsi="Times New Roman" w:eastAsia="宋体" w:cs="Times New Roman"/>
          <w:color w:val="auto"/>
          <w:szCs w:val="24"/>
          <w:highlight w:val="none"/>
        </w:rPr>
        <w:t>样品运送单</w:t>
      </w:r>
      <w:r>
        <w:rPr>
          <w:rFonts w:hint="default" w:ascii="Times New Roman" w:hAnsi="Times New Roman" w:cs="Times New Roman"/>
          <w:color w:val="auto"/>
          <w:szCs w:val="24"/>
          <w:highlight w:val="none"/>
          <w:lang w:eastAsia="zh-CN"/>
        </w:rPr>
        <w:t>”</w:t>
      </w:r>
      <w:r>
        <w:rPr>
          <w:rFonts w:hint="default" w:ascii="Times New Roman" w:hAnsi="Times New Roman" w:eastAsia="宋体" w:cs="Times New Roman"/>
          <w:color w:val="auto"/>
          <w:szCs w:val="24"/>
          <w:highlight w:val="none"/>
        </w:rPr>
        <w:t>，包括样品名称、采样时间、样品介质、检测指标、检测方法和样品寄送人等信息，样品运送单用防水袋保护，随样品箱一同送达样品检测单位。</w:t>
      </w:r>
    </w:p>
    <w:p w14:paraId="06A92943">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样品装箱过程中，要用泡沫材料填充样品瓶和样品箱之间空隙。样品箱用密封胶带打包。</w:t>
      </w:r>
    </w:p>
    <w:p w14:paraId="24CA8967">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②</w:t>
      </w:r>
      <w:r>
        <w:rPr>
          <w:rFonts w:hint="default" w:ascii="Times New Roman" w:hAnsi="Times New Roman" w:eastAsia="宋体" w:cs="Times New Roman"/>
          <w:color w:val="auto"/>
          <w:szCs w:val="24"/>
          <w:highlight w:val="none"/>
        </w:rPr>
        <w:t>样品运输</w:t>
      </w:r>
    </w:p>
    <w:p w14:paraId="5E02A12F">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样品流转运输应保证样品完好并低温保存，采用适当的减震隔离措施，严防样品瓶的破损、混淆或沾污，在保存时限内运送至样品检测单位。</w:t>
      </w:r>
    </w:p>
    <w:p w14:paraId="71D0BE42">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样品运输应设置运输空白样进行运输过程的质量控制，一个样品运送批次设置一个运输空白样品。</w:t>
      </w:r>
    </w:p>
    <w:p w14:paraId="3515234D">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③</w:t>
      </w:r>
      <w:r>
        <w:rPr>
          <w:rFonts w:hint="default" w:ascii="Times New Roman" w:hAnsi="Times New Roman" w:eastAsia="宋体" w:cs="Times New Roman"/>
          <w:color w:val="auto"/>
          <w:szCs w:val="24"/>
          <w:highlight w:val="none"/>
        </w:rPr>
        <w:t>样品接收</w:t>
      </w:r>
    </w:p>
    <w:p w14:paraId="4C5182A1">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样品检测单位收到样品箱后，立即检查样品箱是否有破损，按照样品运输单清点核实样品数量、样品瓶编号以及破损情况。若出现样品瓶缺少、破损或样品瓶标签无法辨识等重大问题，样品检测单位的实验室负责人应在</w:t>
      </w:r>
      <w:r>
        <w:rPr>
          <w:rFonts w:hint="default" w:ascii="Times New Roman" w:hAnsi="Times New Roman" w:cs="Times New Roman"/>
          <w:color w:val="auto"/>
          <w:szCs w:val="24"/>
          <w:highlight w:val="none"/>
          <w:lang w:eastAsia="zh-CN"/>
        </w:rPr>
        <w:t>“</w:t>
      </w:r>
      <w:r>
        <w:rPr>
          <w:rFonts w:hint="default" w:ascii="Times New Roman" w:hAnsi="Times New Roman" w:eastAsia="宋体" w:cs="Times New Roman"/>
          <w:color w:val="auto"/>
          <w:szCs w:val="24"/>
          <w:highlight w:val="none"/>
        </w:rPr>
        <w:t>样品运送单</w:t>
      </w:r>
      <w:r>
        <w:rPr>
          <w:rFonts w:hint="default" w:ascii="Times New Roman" w:hAnsi="Times New Roman" w:cs="Times New Roman"/>
          <w:color w:val="auto"/>
          <w:szCs w:val="24"/>
          <w:highlight w:val="none"/>
          <w:lang w:eastAsia="zh-CN"/>
        </w:rPr>
        <w:t>”</w:t>
      </w:r>
      <w:r>
        <w:rPr>
          <w:rFonts w:hint="default" w:ascii="Times New Roman" w:hAnsi="Times New Roman" w:eastAsia="宋体" w:cs="Times New Roman"/>
          <w:color w:val="auto"/>
          <w:szCs w:val="24"/>
          <w:highlight w:val="none"/>
        </w:rPr>
        <w:t>中进行标注，并及时与采样工作组组长沟通。</w:t>
      </w:r>
    </w:p>
    <w:p w14:paraId="577493A9">
      <w:pPr>
        <w:ind w:firstLine="480"/>
        <w:contextualSpacing/>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上述工作完成后，样品检测单位的实验室负责人在纸版样品运送单上签字确认。样品运送单应作为样品检测报告的附件。</w:t>
      </w:r>
    </w:p>
    <w:p w14:paraId="0EFCA791">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rPr>
        <w:t>样品检测单位收到样品后，按照样品运送单要求，立即安排样品保存和检测。</w:t>
      </w:r>
    </w:p>
    <w:p w14:paraId="2CEADC5E">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（2）实验室分析</w:t>
      </w:r>
    </w:p>
    <w:p w14:paraId="005C0F93">
      <w:pPr>
        <w:ind w:firstLine="480"/>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所有收到的待检测样品、在检样品和检毕的样品均根据样品保存条件（冷藏、避光、加酸、加碱等）做好妥善保存，以保证检测结果的准确性。</w:t>
      </w:r>
    </w:p>
    <w:p w14:paraId="6600BC6B">
      <w:pPr>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rPr>
        <w:t>实验室分析常用的质控手段包括现场平行样、全程序空白、运输空白、方法空白、密码平行、空白加标、基质加标。通过计算加标回收率和相对偏差来表征检测方法的准确度和精密度。现场采样平行样作为盲样评估实验室检测和现场采样的精密度，实验室分析平行样评估实验室分析的精密度。平行样品的精密度用相对偏差表示。</w:t>
      </w:r>
      <w:r>
        <w:rPr>
          <w:rFonts w:hint="default" w:ascii="Times New Roman" w:hAnsi="Times New Roman" w:eastAsia="宋体" w:cs="Times New Roman"/>
          <w:color w:val="auto"/>
          <w:highlight w:val="none"/>
          <w:lang w:val="en-US" w:eastAsia="zh-CN"/>
        </w:rPr>
        <w:t>所有质控数据都应满足质控要求。</w:t>
      </w:r>
    </w:p>
    <w:p w14:paraId="3D7DA0D6">
      <w:pPr>
        <w:pStyle w:val="28"/>
        <w:ind w:left="0" w:leftChars="0" w:firstLine="0" w:firstLineChars="0"/>
        <w:rPr>
          <w:rFonts w:hint="default" w:ascii="Times New Roman" w:hAnsi="Times New Roman" w:cs="Times New Roman"/>
          <w:color w:val="auto"/>
          <w:highlight w:val="none"/>
          <w:lang w:val="en-US" w:eastAsia="zh-CN"/>
        </w:rPr>
        <w:sectPr>
          <w:pgSz w:w="11906" w:h="16838"/>
          <w:pgMar w:top="1440" w:right="1800" w:bottom="1440" w:left="1800" w:header="794" w:footer="992" w:gutter="0"/>
          <w:pgNumType w:fmt="decimal"/>
          <w:cols w:space="425" w:num="1"/>
          <w:docGrid w:type="lines" w:linePitch="312" w:charSpace="0"/>
        </w:sectPr>
      </w:pPr>
    </w:p>
    <w:p w14:paraId="403CAED0">
      <w:pPr>
        <w:pStyle w:val="2"/>
        <w:bidi w:val="0"/>
        <w:rPr>
          <w:rFonts w:hint="default" w:ascii="Times New Roman" w:hAnsi="Times New Roman" w:cs="Times New Roman"/>
          <w:color w:val="auto"/>
          <w:highlight w:val="none"/>
        </w:rPr>
      </w:pPr>
      <w:bookmarkStart w:id="212" w:name="_Toc406099728"/>
      <w:bookmarkStart w:id="213" w:name="_Toc406099852"/>
      <w:bookmarkStart w:id="214" w:name="_Toc406099576"/>
      <w:bookmarkStart w:id="215" w:name="_Toc6957"/>
      <w:r>
        <w:rPr>
          <w:rFonts w:hint="default" w:ascii="Times New Roman" w:hAnsi="Times New Roman" w:cs="Times New Roman"/>
          <w:color w:val="auto"/>
          <w:highlight w:val="none"/>
          <w:lang w:val="en-US" w:eastAsia="zh-CN"/>
        </w:rPr>
        <w:t xml:space="preserve">6 </w:t>
      </w:r>
      <w:r>
        <w:rPr>
          <w:rFonts w:hint="default" w:ascii="Times New Roman" w:hAnsi="Times New Roman" w:cs="Times New Roman"/>
          <w:color w:val="auto"/>
          <w:highlight w:val="none"/>
        </w:rPr>
        <w:t>环境应急计划</w:t>
      </w:r>
      <w:bookmarkEnd w:id="212"/>
      <w:bookmarkEnd w:id="213"/>
      <w:bookmarkEnd w:id="214"/>
      <w:bookmarkEnd w:id="215"/>
    </w:p>
    <w:p w14:paraId="771DBDBE">
      <w:pPr>
        <w:pStyle w:val="3"/>
        <w:bidi w:val="0"/>
        <w:rPr>
          <w:rFonts w:hint="default" w:ascii="Times New Roman" w:hAnsi="Times New Roman" w:cs="Times New Roman"/>
          <w:color w:val="auto"/>
          <w:highlight w:val="none"/>
        </w:rPr>
      </w:pPr>
      <w:bookmarkStart w:id="216" w:name="_Toc10345"/>
      <w:bookmarkStart w:id="217" w:name="_Toc406099853"/>
      <w:bookmarkStart w:id="218" w:name="_Toc406099577"/>
      <w:bookmarkStart w:id="219" w:name="_Toc406099729"/>
      <w:r>
        <w:rPr>
          <w:rFonts w:hint="default" w:ascii="Times New Roman" w:hAnsi="Times New Roman" w:cs="Times New Roman"/>
          <w:color w:val="auto"/>
          <w:highlight w:val="none"/>
          <w:lang w:val="en-US" w:eastAsia="zh-CN"/>
        </w:rPr>
        <w:t xml:space="preserve">6.1 </w:t>
      </w:r>
      <w:r>
        <w:rPr>
          <w:rFonts w:hint="default" w:ascii="Times New Roman" w:hAnsi="Times New Roman" w:cs="Times New Roman"/>
          <w:color w:val="auto"/>
          <w:highlight w:val="none"/>
        </w:rPr>
        <w:t>应急小组及工作职责</w:t>
      </w:r>
      <w:bookmarkEnd w:id="216"/>
      <w:bookmarkEnd w:id="217"/>
      <w:bookmarkEnd w:id="218"/>
      <w:bookmarkEnd w:id="219"/>
    </w:p>
    <w:p w14:paraId="6A14F251">
      <w:pPr>
        <w:pStyle w:val="4"/>
        <w:bidi w:val="0"/>
        <w:rPr>
          <w:rFonts w:hint="default" w:ascii="Times New Roman" w:hAnsi="Times New Roman" w:cs="Times New Roman"/>
          <w:color w:val="auto"/>
          <w:highlight w:val="none"/>
        </w:rPr>
      </w:pPr>
      <w:bookmarkStart w:id="220" w:name="_Toc406099730"/>
      <w:bookmarkStart w:id="221" w:name="_Toc406099854"/>
      <w:bookmarkStart w:id="222" w:name="_Toc28618"/>
      <w:bookmarkStart w:id="223" w:name="_Toc406099578"/>
      <w:r>
        <w:rPr>
          <w:rFonts w:hint="default" w:ascii="Times New Roman" w:hAnsi="Times New Roman" w:cs="Times New Roman"/>
          <w:color w:val="auto"/>
          <w:highlight w:val="none"/>
          <w:lang w:val="en-US" w:eastAsia="zh-CN"/>
        </w:rPr>
        <w:t xml:space="preserve">6.1.1 </w:t>
      </w:r>
      <w:r>
        <w:rPr>
          <w:rFonts w:hint="default" w:ascii="Times New Roman" w:hAnsi="Times New Roman" w:cs="Times New Roman"/>
          <w:color w:val="auto"/>
          <w:highlight w:val="none"/>
        </w:rPr>
        <w:t>应急小组</w:t>
      </w:r>
      <w:bookmarkEnd w:id="220"/>
      <w:bookmarkEnd w:id="221"/>
      <w:bookmarkEnd w:id="222"/>
      <w:bookmarkEnd w:id="223"/>
    </w:p>
    <w:p w14:paraId="447D591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的企业环境突发事故应急预案，在HCFC-141b生产线拆除项目实施期间，应成立项目环境应急小组，明确各成员及管理人员的环境应急指责，具体分工见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w:t>
      </w:r>
    </w:p>
    <w:p w14:paraId="23862FC1">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 环境应急小组领导成员及职责概述</w:t>
      </w:r>
    </w:p>
    <w:tbl>
      <w:tblPr>
        <w:tblStyle w:val="2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5"/>
        <w:gridCol w:w="6804"/>
      </w:tblGrid>
      <w:tr w14:paraId="0A2F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555" w:type="dxa"/>
            <w:shd w:val="clear" w:color="auto" w:fill="auto"/>
            <w:vAlign w:val="center"/>
          </w:tcPr>
          <w:p w14:paraId="48D9F19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职务</w:t>
            </w:r>
          </w:p>
        </w:tc>
        <w:tc>
          <w:tcPr>
            <w:tcW w:w="6804" w:type="dxa"/>
            <w:shd w:val="clear" w:color="auto" w:fill="auto"/>
            <w:vAlign w:val="center"/>
          </w:tcPr>
          <w:p w14:paraId="5C8CF74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职责</w:t>
            </w:r>
          </w:p>
        </w:tc>
      </w:tr>
      <w:tr w14:paraId="1D4E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shd w:val="clear" w:color="auto" w:fill="auto"/>
            <w:vAlign w:val="center"/>
          </w:tcPr>
          <w:p w14:paraId="3B15D67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总指挥</w:t>
            </w:r>
          </w:p>
        </w:tc>
        <w:tc>
          <w:tcPr>
            <w:tcW w:w="6804" w:type="dxa"/>
            <w:shd w:val="clear" w:color="auto" w:fill="auto"/>
            <w:vAlign w:val="center"/>
          </w:tcPr>
          <w:p w14:paraId="3D153EA6">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负责指挥协调全公司的应急救援。</w:t>
            </w:r>
          </w:p>
        </w:tc>
      </w:tr>
      <w:tr w14:paraId="568B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shd w:val="clear" w:color="auto" w:fill="auto"/>
            <w:vAlign w:val="center"/>
          </w:tcPr>
          <w:p w14:paraId="78631DB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副总指挥</w:t>
            </w:r>
          </w:p>
        </w:tc>
        <w:tc>
          <w:tcPr>
            <w:tcW w:w="6804" w:type="dxa"/>
            <w:shd w:val="clear" w:color="auto" w:fill="auto"/>
            <w:vAlign w:val="center"/>
          </w:tcPr>
          <w:p w14:paraId="55DF496D">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①按批准的应急准备方案，落实有关设施、物资并组织实施；</w:t>
            </w:r>
          </w:p>
          <w:p w14:paraId="2D4268DF">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②组织有关人员进行应急准备及响应预案培训，必要时组织演练；</w:t>
            </w:r>
          </w:p>
          <w:p w14:paraId="5166E38C">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③组织编制应急准备及响应预案并审核。</w:t>
            </w:r>
          </w:p>
        </w:tc>
      </w:tr>
      <w:tr w14:paraId="1B19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shd w:val="clear" w:color="auto" w:fill="auto"/>
            <w:vAlign w:val="center"/>
          </w:tcPr>
          <w:p w14:paraId="20FEA8D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安全部长</w:t>
            </w:r>
          </w:p>
        </w:tc>
        <w:tc>
          <w:tcPr>
            <w:tcW w:w="6804" w:type="dxa"/>
            <w:shd w:val="clear" w:color="auto" w:fill="auto"/>
            <w:vAlign w:val="center"/>
          </w:tcPr>
          <w:p w14:paraId="2CAFC49D">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①协助副总指挥做好事故报警、报告、通报和事故处置工作；</w:t>
            </w:r>
          </w:p>
          <w:p w14:paraId="039B1209">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②检查落实拆除项目消防措施。</w:t>
            </w:r>
          </w:p>
        </w:tc>
      </w:tr>
      <w:tr w14:paraId="54A2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shd w:val="clear" w:color="auto" w:fill="auto"/>
            <w:vAlign w:val="center"/>
          </w:tcPr>
          <w:p w14:paraId="416B927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生产部长</w:t>
            </w:r>
          </w:p>
        </w:tc>
        <w:tc>
          <w:tcPr>
            <w:tcW w:w="6804" w:type="dxa"/>
            <w:shd w:val="clear" w:color="auto" w:fill="auto"/>
            <w:vAlign w:val="center"/>
          </w:tcPr>
          <w:p w14:paraId="39F372AF">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①负责事故处置时设备系统开停车调度和通信联络工作；</w:t>
            </w:r>
          </w:p>
          <w:p w14:paraId="1E6E5F35">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②协助副总指挥做好培训工作以及应急物资准备工作。</w:t>
            </w:r>
          </w:p>
        </w:tc>
      </w:tr>
      <w:tr w14:paraId="4CA5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shd w:val="clear" w:color="auto" w:fill="auto"/>
            <w:vAlign w:val="center"/>
          </w:tcPr>
          <w:p w14:paraId="7CC9E19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环保部长</w:t>
            </w:r>
          </w:p>
        </w:tc>
        <w:tc>
          <w:tcPr>
            <w:tcW w:w="6804" w:type="dxa"/>
            <w:shd w:val="clear" w:color="auto" w:fill="auto"/>
            <w:vAlign w:val="center"/>
          </w:tcPr>
          <w:p w14:paraId="2C284440">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①负责对事故应急救援提出方案，现场指导救援工作；</w:t>
            </w:r>
          </w:p>
          <w:p w14:paraId="101E4ECF">
            <w:pPr>
              <w:pStyle w:val="45"/>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②参与事故的调查分析、监测，并确定防范措施。</w:t>
            </w:r>
          </w:p>
        </w:tc>
      </w:tr>
    </w:tbl>
    <w:p w14:paraId="656BC4C7">
      <w:pPr>
        <w:pStyle w:val="4"/>
        <w:bidi w:val="0"/>
        <w:rPr>
          <w:rFonts w:hint="default" w:ascii="Times New Roman" w:hAnsi="Times New Roman" w:cs="Times New Roman"/>
          <w:color w:val="auto"/>
          <w:highlight w:val="none"/>
        </w:rPr>
      </w:pPr>
      <w:bookmarkStart w:id="224" w:name="_Toc5974"/>
      <w:bookmarkStart w:id="225" w:name="_Toc406099731"/>
      <w:bookmarkStart w:id="226" w:name="_Toc406099579"/>
      <w:bookmarkStart w:id="227" w:name="_Toc406099855"/>
      <w:r>
        <w:rPr>
          <w:rFonts w:hint="default" w:ascii="Times New Roman" w:hAnsi="Times New Roman" w:cs="Times New Roman"/>
          <w:color w:val="auto"/>
          <w:highlight w:val="none"/>
          <w:lang w:val="en-US" w:eastAsia="zh-CN"/>
        </w:rPr>
        <w:t xml:space="preserve">6.1.2 </w:t>
      </w:r>
      <w:r>
        <w:rPr>
          <w:rFonts w:hint="default" w:ascii="Times New Roman" w:hAnsi="Times New Roman" w:cs="Times New Roman"/>
          <w:color w:val="auto"/>
          <w:highlight w:val="none"/>
        </w:rPr>
        <w:t>现场管理员职责</w:t>
      </w:r>
      <w:bookmarkEnd w:id="224"/>
      <w:bookmarkEnd w:id="225"/>
      <w:bookmarkEnd w:id="226"/>
      <w:bookmarkEnd w:id="227"/>
    </w:p>
    <w:p w14:paraId="07185C3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还应针对本次HCFC-141b生产线拆除项目具体实施方案，确定一名项目现场环境经理为主要紧急事故协调员。如果发生突发环境事件而项目现场环境经理不在场地时，承包商管理人员将执行协调员职责直至项目现场环境经理回到场地，职责包括：</w:t>
      </w:r>
    </w:p>
    <w:p w14:paraId="142132E8">
      <w:pPr>
        <w:keepNext w:val="0"/>
        <w:keepLines w:val="0"/>
        <w:pageBreakBefore w:val="0"/>
        <w:widowControl w:val="0"/>
        <w:numPr>
          <w:ilvl w:val="0"/>
          <w:numId w:val="2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指挥场地人员，保证执行突发环境事件应急计划不受影响；</w:t>
      </w:r>
    </w:p>
    <w:p w14:paraId="2223983F">
      <w:pPr>
        <w:keepNext w:val="0"/>
        <w:keepLines w:val="0"/>
        <w:pageBreakBefore w:val="0"/>
        <w:widowControl w:val="0"/>
        <w:numPr>
          <w:ilvl w:val="0"/>
          <w:numId w:val="2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判断突发环境事件的性状并执行突发环境事件应急响应程序中规定的措施，是否决定执行该计划取决于实际情况是否威胁环境及人类健康；</w:t>
      </w:r>
    </w:p>
    <w:p w14:paraId="70BD467F">
      <w:pPr>
        <w:keepNext w:val="0"/>
        <w:keepLines w:val="0"/>
        <w:pageBreakBefore w:val="0"/>
        <w:widowControl w:val="0"/>
        <w:numPr>
          <w:ilvl w:val="0"/>
          <w:numId w:val="2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指挥项目实施现场人员控制突发环境事件，直至外部援助到达现场，尤其是要保证人员疏散及源头切断；</w:t>
      </w:r>
    </w:p>
    <w:p w14:paraId="390E7C25">
      <w:pPr>
        <w:keepNext w:val="0"/>
        <w:keepLines w:val="0"/>
        <w:pageBreakBefore w:val="0"/>
        <w:widowControl w:val="0"/>
        <w:numPr>
          <w:ilvl w:val="0"/>
          <w:numId w:val="2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现场工作人员遇到突发环境事件时必须立即通报，所有紧急事故相关人员及通讯都将通过紧急事故协调员协调指挥。</w:t>
      </w:r>
    </w:p>
    <w:p w14:paraId="69A89177">
      <w:pPr>
        <w:pStyle w:val="3"/>
        <w:rPr>
          <w:rFonts w:hint="default" w:ascii="Times New Roman" w:hAnsi="Times New Roman" w:cs="Times New Roman" w:eastAsiaTheme="minorEastAsia"/>
          <w:color w:val="auto"/>
          <w:highlight w:val="none"/>
        </w:rPr>
      </w:pPr>
      <w:bookmarkStart w:id="228" w:name="_Toc406099856"/>
      <w:bookmarkStart w:id="229" w:name="_Toc1751"/>
      <w:bookmarkStart w:id="230" w:name="_Toc406099580"/>
      <w:bookmarkStart w:id="231" w:name="_Toc406099732"/>
      <w:r>
        <w:rPr>
          <w:rFonts w:hint="default" w:ascii="Times New Roman" w:hAnsi="Times New Roman" w:cs="Times New Roman" w:eastAsiaTheme="minorEastAsia"/>
          <w:color w:val="auto"/>
          <w:highlight w:val="none"/>
          <w:lang w:val="en-US" w:eastAsia="zh-CN"/>
        </w:rPr>
        <w:t xml:space="preserve">6.2 </w:t>
      </w:r>
      <w:r>
        <w:rPr>
          <w:rFonts w:hint="default" w:ascii="Times New Roman" w:hAnsi="Times New Roman" w:cs="Times New Roman" w:eastAsiaTheme="minorEastAsia"/>
          <w:color w:val="auto"/>
          <w:highlight w:val="none"/>
        </w:rPr>
        <w:t>风险隐患识别及排查</w:t>
      </w:r>
      <w:bookmarkEnd w:id="228"/>
      <w:bookmarkEnd w:id="229"/>
      <w:bookmarkEnd w:id="230"/>
      <w:bookmarkEnd w:id="231"/>
    </w:p>
    <w:p w14:paraId="3756CEC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上述4.1以及4.2章节中，规范了本项目业主及承包商针对环境影响、危险废物环境风险的减缓、管理措施。本章节内容详细讨论现场操作中易发生环境风险的具体环节以及物料转移、设备拆除工作实施之前，应进行的风险排查和相关应急准备工作。</w:t>
      </w:r>
    </w:p>
    <w:p w14:paraId="47EB5E24">
      <w:pPr>
        <w:pStyle w:val="4"/>
        <w:bidi w:val="0"/>
        <w:rPr>
          <w:rFonts w:hint="default" w:ascii="Times New Roman" w:hAnsi="Times New Roman" w:cs="Times New Roman"/>
          <w:color w:val="auto"/>
          <w:highlight w:val="none"/>
        </w:rPr>
      </w:pPr>
      <w:bookmarkStart w:id="232" w:name="_Toc406099733"/>
      <w:bookmarkStart w:id="233" w:name="_Toc406099857"/>
      <w:bookmarkStart w:id="234" w:name="_Toc406099581"/>
      <w:bookmarkStart w:id="235" w:name="_Toc10322"/>
      <w:r>
        <w:rPr>
          <w:rFonts w:hint="default" w:ascii="Times New Roman" w:hAnsi="Times New Roman" w:cs="Times New Roman"/>
          <w:color w:val="auto"/>
          <w:highlight w:val="none"/>
          <w:lang w:val="en-US" w:eastAsia="zh-CN"/>
        </w:rPr>
        <w:t xml:space="preserve">6.2.1 </w:t>
      </w:r>
      <w:r>
        <w:rPr>
          <w:rFonts w:hint="default" w:ascii="Times New Roman" w:hAnsi="Times New Roman" w:cs="Times New Roman"/>
          <w:color w:val="auto"/>
          <w:highlight w:val="none"/>
        </w:rPr>
        <w:t>应急准备</w:t>
      </w:r>
      <w:bookmarkEnd w:id="232"/>
      <w:bookmarkEnd w:id="233"/>
      <w:bookmarkEnd w:id="234"/>
      <w:bookmarkEnd w:id="235"/>
    </w:p>
    <w:p w14:paraId="758290E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HCFC-141b生产线拆除工作中的应急物资准备情况参考企业生产过程中的应急物资储备，详见企业突发环境事件应急预案。本章节从不同事故类型，即火灾、泄漏及恶劣天气方面说明在物料转移、设备拆除阶段前，项目业主的应急准备注意事项。</w:t>
      </w:r>
    </w:p>
    <w:p w14:paraId="1AA1FDDE">
      <w:pPr>
        <w:ind w:firstLineChars="0"/>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lang w:val="en-US" w:eastAsia="zh-CN"/>
        </w:rPr>
        <w:t>一、</w:t>
      </w:r>
      <w:r>
        <w:rPr>
          <w:rFonts w:hint="default" w:ascii="Times New Roman" w:hAnsi="Times New Roman" w:cs="Times New Roman"/>
          <w:b/>
          <w:color w:val="auto"/>
          <w:highlight w:val="none"/>
          <w:u w:val="none"/>
        </w:rPr>
        <w:t>火灾事故的应急准备</w:t>
      </w:r>
    </w:p>
    <w:p w14:paraId="34A2B921">
      <w:pPr>
        <w:ind w:left="360" w:firstLine="120" w:firstLineChars="5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以下程序将用于防止火灾的发生及人员伤亡：</w:t>
      </w:r>
    </w:p>
    <w:p w14:paraId="279F4C4E">
      <w:pPr>
        <w:keepNext w:val="0"/>
        <w:keepLines w:val="0"/>
        <w:pageBreakBefore w:val="0"/>
        <w:widowControl w:val="0"/>
        <w:numPr>
          <w:ilvl w:val="0"/>
          <w:numId w:val="2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在易燃物区，非吸烟区将张贴在明显的位置；</w:t>
      </w:r>
    </w:p>
    <w:p w14:paraId="26A0A400">
      <w:pPr>
        <w:keepNext w:val="0"/>
        <w:keepLines w:val="0"/>
        <w:pageBreakBefore w:val="0"/>
        <w:widowControl w:val="0"/>
        <w:numPr>
          <w:ilvl w:val="0"/>
          <w:numId w:val="2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物料转移、拆除区域设置灭火器等消防设施，并明显标识，定期检查；</w:t>
      </w:r>
    </w:p>
    <w:p w14:paraId="4DCB01D0">
      <w:pPr>
        <w:keepNext w:val="0"/>
        <w:keepLines w:val="0"/>
        <w:pageBreakBefore w:val="0"/>
        <w:widowControl w:val="0"/>
        <w:numPr>
          <w:ilvl w:val="0"/>
          <w:numId w:val="2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易燃、易爆、危险品储存区设自动消防系统；</w:t>
      </w:r>
    </w:p>
    <w:p w14:paraId="10A4D0D9">
      <w:pPr>
        <w:keepNext w:val="0"/>
        <w:keepLines w:val="0"/>
        <w:pageBreakBefore w:val="0"/>
        <w:widowControl w:val="0"/>
        <w:numPr>
          <w:ilvl w:val="0"/>
          <w:numId w:val="2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检查电力管线；</w:t>
      </w:r>
    </w:p>
    <w:p w14:paraId="1F0EF23E">
      <w:pPr>
        <w:keepNext w:val="0"/>
        <w:keepLines w:val="0"/>
        <w:pageBreakBefore w:val="0"/>
        <w:widowControl w:val="0"/>
        <w:numPr>
          <w:ilvl w:val="0"/>
          <w:numId w:val="2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在隔离区及周边区域设置紧急疏散指示牌。</w:t>
      </w:r>
    </w:p>
    <w:p w14:paraId="4529B437">
      <w:pPr>
        <w:ind w:firstLineChars="0"/>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lang w:val="en-US" w:eastAsia="zh-CN"/>
        </w:rPr>
        <w:t>二、</w:t>
      </w:r>
      <w:r>
        <w:rPr>
          <w:rFonts w:hint="default" w:ascii="Times New Roman" w:hAnsi="Times New Roman" w:cs="Times New Roman"/>
          <w:b/>
          <w:color w:val="auto"/>
          <w:highlight w:val="none"/>
          <w:u w:val="none"/>
        </w:rPr>
        <w:t>暴雨、台风的应急准备</w:t>
      </w:r>
    </w:p>
    <w:p w14:paraId="6E1B99D5">
      <w:p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业主及承包商拆除阶段密切注意气象，对于可能出现的大风、大雪等灾害性天气，预先加固临时设施及设备、材料，加强基坑及现场排水设施，对于可能的天气做好物资的防淹、防雨措施。</w:t>
      </w:r>
    </w:p>
    <w:p w14:paraId="0AC269C7">
      <w:pPr>
        <w:pStyle w:val="4"/>
        <w:bidi w:val="0"/>
        <w:rPr>
          <w:rFonts w:hint="default" w:ascii="Times New Roman" w:hAnsi="Times New Roman" w:cs="Times New Roman"/>
          <w:color w:val="auto"/>
          <w:highlight w:val="none"/>
        </w:rPr>
      </w:pPr>
      <w:bookmarkStart w:id="236" w:name="_Toc406099858"/>
      <w:bookmarkStart w:id="237" w:name="_Toc19607"/>
      <w:bookmarkStart w:id="238" w:name="_Toc406099734"/>
      <w:bookmarkStart w:id="239" w:name="_Toc406099582"/>
      <w:r>
        <w:rPr>
          <w:rFonts w:hint="default" w:ascii="Times New Roman" w:hAnsi="Times New Roman" w:cs="Times New Roman"/>
          <w:color w:val="auto"/>
          <w:highlight w:val="none"/>
          <w:lang w:val="en-US" w:eastAsia="zh-CN"/>
        </w:rPr>
        <w:t xml:space="preserve">6.2.2 </w:t>
      </w:r>
      <w:r>
        <w:rPr>
          <w:rFonts w:hint="default" w:ascii="Times New Roman" w:hAnsi="Times New Roman" w:cs="Times New Roman"/>
          <w:color w:val="auto"/>
          <w:highlight w:val="none"/>
        </w:rPr>
        <w:t>现场环境风险识别</w:t>
      </w:r>
      <w:bookmarkEnd w:id="236"/>
      <w:bookmarkEnd w:id="237"/>
      <w:bookmarkEnd w:id="238"/>
      <w:bookmarkEnd w:id="239"/>
    </w:p>
    <w:p w14:paraId="62E3C86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承包商管理人员及项目现场环境经理有责任通过场地检查及雇员回馈反应识别危险存在，除本环境管理计划4.1.2及4.2.2章节涉及的危险化学品、危险废物外，施工之前，现场工作人员应熟知下列相关环境风险概况，并在实际操作中尽量规避：</w:t>
      </w:r>
    </w:p>
    <w:p w14:paraId="44A75AC0">
      <w:pPr>
        <w:keepNext w:val="0"/>
        <w:keepLines w:val="0"/>
        <w:pageBreakBefore w:val="0"/>
        <w:widowControl w:val="0"/>
        <w:numPr>
          <w:ilvl w:val="0"/>
          <w:numId w:val="3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物料转移过程中如果设备泄漏、操作违反有关规定或操作失误，有可能导致物料外泄，对水、大气环境产生影响，同时易燃、有毒液体流出，遇明火引发火灾爆炸事故或中毒事故；</w:t>
      </w:r>
    </w:p>
    <w:p w14:paraId="5C4F4EB3">
      <w:pPr>
        <w:keepNext w:val="0"/>
        <w:keepLines w:val="0"/>
        <w:pageBreakBefore w:val="0"/>
        <w:widowControl w:val="0"/>
        <w:numPr>
          <w:ilvl w:val="0"/>
          <w:numId w:val="3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物料转移作业发生泄漏时，应注意避开火源（如车辆尾气中的火星、电气火花等），避免发生火灾、爆炸或人员灼烫事故；</w:t>
      </w:r>
    </w:p>
    <w:p w14:paraId="31E8B1CD">
      <w:pPr>
        <w:keepNext w:val="0"/>
        <w:keepLines w:val="0"/>
        <w:pageBreakBefore w:val="0"/>
        <w:widowControl w:val="0"/>
        <w:numPr>
          <w:ilvl w:val="0"/>
          <w:numId w:val="3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危险化学品储存场所未设置消防器材、配置不符合要求或者发现火情不会正确使用的，即会错失灭火最佳时机而导致灾情扩展；</w:t>
      </w:r>
    </w:p>
    <w:p w14:paraId="39E6B69B">
      <w:pPr>
        <w:keepNext w:val="0"/>
        <w:keepLines w:val="0"/>
        <w:pageBreakBefore w:val="0"/>
        <w:widowControl w:val="0"/>
        <w:numPr>
          <w:ilvl w:val="0"/>
          <w:numId w:val="3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危险化学品临时储存地点如通风不良，则易造成有毒气体积累，从而引发人员中毒事故。</w:t>
      </w:r>
    </w:p>
    <w:p w14:paraId="315D5C54">
      <w:pPr>
        <w:pStyle w:val="3"/>
        <w:bidi w:val="0"/>
        <w:rPr>
          <w:rFonts w:hint="default" w:ascii="Times New Roman" w:hAnsi="Times New Roman" w:cs="Times New Roman"/>
          <w:color w:val="auto"/>
          <w:highlight w:val="none"/>
        </w:rPr>
      </w:pPr>
      <w:bookmarkStart w:id="240" w:name="_Toc406099735"/>
      <w:bookmarkStart w:id="241" w:name="_Toc406099583"/>
      <w:bookmarkStart w:id="242" w:name="_Toc406099859"/>
      <w:bookmarkStart w:id="243" w:name="_Toc31643"/>
      <w:r>
        <w:rPr>
          <w:rFonts w:hint="default" w:ascii="Times New Roman" w:hAnsi="Times New Roman" w:cs="Times New Roman"/>
          <w:color w:val="auto"/>
          <w:highlight w:val="none"/>
          <w:lang w:val="en-US" w:eastAsia="zh-CN"/>
        </w:rPr>
        <w:t xml:space="preserve">6.3 </w:t>
      </w:r>
      <w:r>
        <w:rPr>
          <w:rFonts w:hint="default" w:ascii="Times New Roman" w:hAnsi="Times New Roman" w:cs="Times New Roman"/>
          <w:color w:val="auto"/>
          <w:highlight w:val="none"/>
        </w:rPr>
        <w:t>应急信息的报告与发布</w:t>
      </w:r>
      <w:bookmarkEnd w:id="240"/>
      <w:bookmarkEnd w:id="241"/>
      <w:bookmarkEnd w:id="242"/>
      <w:bookmarkEnd w:id="243"/>
    </w:p>
    <w:p w14:paraId="0D41B2D7">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根据《突发环境事件信息报告办法》中的相关规定，突发环境事件发生时，立即联系现场应急管理员并启动报警器，并采用电话或口头形式向项目业主应急救援指挥机构、应急救援队伍报告，</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及现场施工的承包商应明确24小时应急值守电话。在应急工作完成后的12小时内发生事故的场所、车间应以书面形式向应急救援总指挥及公司领导进行报告。此外，业主应在工程实施开始前，明确突发环境事件发生后向上级主管部门和相关政府部门报告事件信息的联系方式及相关流程。</w:t>
      </w:r>
    </w:p>
    <w:p w14:paraId="735D626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场汇报和口头报告内容应简明扼要并能说明各部门需要了解的内容，具体包括事故发生部位、情况、人员伤亡情况、已采取的应急措施、仍存在环境风险情况等内容。书面报告应详细说明事故原因、事故类别、发生时间、部位、事故主要责任人、事故经过及造成的损失情况等内容。</w:t>
      </w:r>
    </w:p>
    <w:p w14:paraId="3BDA084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紧急事件发生后24小时内，上报当地环境相关管理部门，即常熟市海虞镇环境保护局，并抄送当地有关管理单位。如有发生火灾或者爆炸，必须向地方消防部门通报。如果事故威胁到人类健康及场外场地环境，紧急事故协调员必须立即决定是否疏散场外区域人员，并向公安局及紧急事故管理办公室通报。</w:t>
      </w:r>
    </w:p>
    <w:p w14:paraId="03FFA313">
      <w:pPr>
        <w:pStyle w:val="3"/>
        <w:bidi w:val="0"/>
        <w:rPr>
          <w:rFonts w:hint="default" w:ascii="Times New Roman" w:hAnsi="Times New Roman" w:cs="Times New Roman"/>
          <w:color w:val="auto"/>
          <w:highlight w:val="none"/>
        </w:rPr>
      </w:pPr>
      <w:bookmarkStart w:id="244" w:name="_Toc406099736"/>
      <w:bookmarkStart w:id="245" w:name="_Toc406099584"/>
      <w:bookmarkStart w:id="246" w:name="_Toc406099860"/>
      <w:bookmarkStart w:id="247" w:name="_Toc14664"/>
      <w:r>
        <w:rPr>
          <w:rFonts w:hint="default" w:ascii="Times New Roman" w:hAnsi="Times New Roman" w:cs="Times New Roman"/>
          <w:color w:val="auto"/>
          <w:highlight w:val="none"/>
          <w:lang w:val="en-US" w:eastAsia="zh-CN"/>
        </w:rPr>
        <w:t xml:space="preserve">6.4 </w:t>
      </w:r>
      <w:r>
        <w:rPr>
          <w:rFonts w:hint="default" w:ascii="Times New Roman" w:hAnsi="Times New Roman" w:cs="Times New Roman"/>
          <w:color w:val="auto"/>
          <w:highlight w:val="none"/>
        </w:rPr>
        <w:t>应急处置措施</w:t>
      </w:r>
      <w:bookmarkEnd w:id="244"/>
      <w:bookmarkEnd w:id="245"/>
      <w:bookmarkEnd w:id="246"/>
      <w:bookmarkEnd w:id="247"/>
    </w:p>
    <w:p w14:paraId="12666A7F">
      <w:pPr>
        <w:pStyle w:val="4"/>
        <w:bidi w:val="0"/>
        <w:rPr>
          <w:rFonts w:hint="default" w:ascii="Times New Roman" w:hAnsi="Times New Roman" w:cs="Times New Roman"/>
          <w:color w:val="auto"/>
          <w:highlight w:val="none"/>
        </w:rPr>
      </w:pPr>
      <w:bookmarkStart w:id="248" w:name="_Toc1411"/>
      <w:bookmarkStart w:id="249" w:name="_Toc406099585"/>
      <w:bookmarkStart w:id="250" w:name="_Toc406099737"/>
      <w:bookmarkStart w:id="251" w:name="_Toc406099861"/>
      <w:r>
        <w:rPr>
          <w:rFonts w:hint="default" w:ascii="Times New Roman" w:hAnsi="Times New Roman" w:cs="Times New Roman"/>
          <w:color w:val="auto"/>
          <w:highlight w:val="none"/>
          <w:lang w:val="en-US" w:eastAsia="zh-CN"/>
        </w:rPr>
        <w:t xml:space="preserve">6.4.1 </w:t>
      </w:r>
      <w:r>
        <w:rPr>
          <w:rFonts w:hint="default" w:ascii="Times New Roman" w:hAnsi="Times New Roman" w:cs="Times New Roman"/>
          <w:color w:val="auto"/>
          <w:highlight w:val="none"/>
        </w:rPr>
        <w:t>一般性要求</w:t>
      </w:r>
      <w:bookmarkEnd w:id="248"/>
      <w:bookmarkEnd w:id="249"/>
      <w:bookmarkEnd w:id="250"/>
      <w:bookmarkEnd w:id="251"/>
    </w:p>
    <w:p w14:paraId="5AEAABC2">
      <w:pPr>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环境管理员（紧急事故协调员）及承包商在现场必须保证以下几点：</w:t>
      </w:r>
    </w:p>
    <w:p w14:paraId="14B8E58B">
      <w:pPr>
        <w:keepNext w:val="0"/>
        <w:keepLines w:val="0"/>
        <w:pageBreakBefore w:val="0"/>
        <w:widowControl w:val="0"/>
        <w:numPr>
          <w:ilvl w:val="0"/>
          <w:numId w:val="3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发生突发环境事件时，保护场地人员并紧急疏散，所有现场人员着装个人防护装备等待救援到来；</w:t>
      </w:r>
    </w:p>
    <w:p w14:paraId="2FC8EE88">
      <w:pPr>
        <w:keepNext w:val="0"/>
        <w:keepLines w:val="0"/>
        <w:pageBreakBefore w:val="0"/>
        <w:widowControl w:val="0"/>
        <w:numPr>
          <w:ilvl w:val="0"/>
          <w:numId w:val="3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紧急事故协调员应预测判断紧急情况或事故类型和规模，当紧急情况或事故能够控制时，应立即组织人员在初始阶段灭火或消除险情，防止事态恶化造成对环境的污染；</w:t>
      </w:r>
    </w:p>
    <w:p w14:paraId="13D1FBC3">
      <w:pPr>
        <w:keepNext w:val="0"/>
        <w:keepLines w:val="0"/>
        <w:pageBreakBefore w:val="0"/>
        <w:widowControl w:val="0"/>
        <w:numPr>
          <w:ilvl w:val="0"/>
          <w:numId w:val="3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当突发环境事件严重，自身难于处理时，应立即报警、联络紧急救援或医疗单位，并同时向上级领导报告；</w:t>
      </w:r>
    </w:p>
    <w:p w14:paraId="235AEA3F">
      <w:pPr>
        <w:keepNext w:val="0"/>
        <w:keepLines w:val="0"/>
        <w:pageBreakBefore w:val="0"/>
        <w:widowControl w:val="0"/>
        <w:numPr>
          <w:ilvl w:val="0"/>
          <w:numId w:val="3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紧急情况发生后可能对邻近单位有影响时，项目值班人员应及时通知邻近单位疏散、转移财产，避免对其造成损失，当发现或接到邻近单位要求支援的通告后，值班人员应立即组织义务消防队员支援，按其要求排除险情、疏散人员等工作；</w:t>
      </w:r>
    </w:p>
    <w:p w14:paraId="63136A40">
      <w:pPr>
        <w:keepNext w:val="0"/>
        <w:keepLines w:val="0"/>
        <w:pageBreakBefore w:val="0"/>
        <w:widowControl w:val="0"/>
        <w:numPr>
          <w:ilvl w:val="0"/>
          <w:numId w:val="3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突发环境事件发生时应按应急处理流程图所示的程序进行处理，承包商应组织保护好现场，在事故处理结束后应按环境管理方案处理废弃物资，防止进一步对环境的污染；</w:t>
      </w:r>
    </w:p>
    <w:p w14:paraId="4A7D8D18">
      <w:pPr>
        <w:keepNext w:val="0"/>
        <w:keepLines w:val="0"/>
        <w:pageBreakBefore w:val="0"/>
        <w:widowControl w:val="0"/>
        <w:numPr>
          <w:ilvl w:val="0"/>
          <w:numId w:val="3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紧急事故处理结束后，承包商也应在24小时内填写突发环境事件处理报告，突发环境事件处理报告一式二份，一份报</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备案，一份自留；</w:t>
      </w:r>
    </w:p>
    <w:p w14:paraId="7C2B5CCB">
      <w:pPr>
        <w:keepNext w:val="0"/>
        <w:keepLines w:val="0"/>
        <w:pageBreakBefore w:val="0"/>
        <w:widowControl w:val="0"/>
        <w:numPr>
          <w:ilvl w:val="0"/>
          <w:numId w:val="31"/>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应急结束后，项目业主及承包商应召集有关人员确定紧急情况发生的原因，评审确保不再发生类似事件的控制方案。</w:t>
      </w:r>
    </w:p>
    <w:p w14:paraId="2B1F3D72">
      <w:pPr>
        <w:pStyle w:val="4"/>
        <w:rPr>
          <w:rFonts w:hint="default" w:ascii="Times New Roman" w:hAnsi="Times New Roman" w:cs="Times New Roman"/>
          <w:color w:val="auto"/>
          <w:highlight w:val="none"/>
        </w:rPr>
      </w:pPr>
      <w:bookmarkStart w:id="252" w:name="_Toc406099738"/>
      <w:bookmarkStart w:id="253" w:name="_Toc406099586"/>
      <w:bookmarkStart w:id="254" w:name="_Toc406099862"/>
      <w:bookmarkStart w:id="255" w:name="_Toc8383"/>
      <w:r>
        <w:rPr>
          <w:rFonts w:hint="default" w:ascii="Times New Roman" w:hAnsi="Times New Roman" w:cs="Times New Roman"/>
          <w:color w:val="auto"/>
          <w:highlight w:val="none"/>
          <w:lang w:val="en-US" w:eastAsia="zh-CN"/>
        </w:rPr>
        <w:t xml:space="preserve">6.4.2 </w:t>
      </w:r>
      <w:r>
        <w:rPr>
          <w:rFonts w:hint="default" w:ascii="Times New Roman" w:hAnsi="Times New Roman" w:cs="Times New Roman"/>
          <w:color w:val="auto"/>
          <w:highlight w:val="none"/>
        </w:rPr>
        <w:t>应急事故处理流程</w:t>
      </w:r>
      <w:bookmarkEnd w:id="252"/>
      <w:bookmarkEnd w:id="253"/>
      <w:bookmarkEnd w:id="254"/>
      <w:bookmarkEnd w:id="255"/>
    </w:p>
    <w:p w14:paraId="49F03628">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一、</w:t>
      </w:r>
      <w:r>
        <w:rPr>
          <w:rFonts w:hint="default" w:ascii="Times New Roman" w:hAnsi="Times New Roman" w:cs="Times New Roman"/>
          <w:b/>
          <w:bCs/>
          <w:color w:val="auto"/>
          <w:highlight w:val="none"/>
        </w:rPr>
        <w:t>火灾</w:t>
      </w:r>
    </w:p>
    <w:p w14:paraId="235E6AB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厂区存在电缆，即存在火灾风险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针对火灾企业配有灭火器（包括干粉灭火器、泡沫罐等）、消防栓和消防喷淋系统。</w:t>
      </w:r>
      <w:r>
        <w:rPr>
          <w:rFonts w:hint="default" w:ascii="Times New Roman" w:hAnsi="Times New Roman" w:cs="Times New Roman"/>
          <w:color w:val="auto"/>
          <w:highlight w:val="none"/>
        </w:rPr>
        <w:t>在不确定是否能快速地控制并熄灭火灾的情况下，现场人员应立即知紧急事故协调员和当地消防部门，并协助紧急事故协调员疏散此区域内人员，具体应急流程见图6-1。</w:t>
      </w:r>
    </w:p>
    <w:p w14:paraId="48788A3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当发生火灾时，应遵守下列注意事项：</w:t>
      </w:r>
    </w:p>
    <w:p w14:paraId="638842D5">
      <w:pPr>
        <w:keepNext w:val="0"/>
        <w:keepLines w:val="0"/>
        <w:pageBreakBefore w:val="0"/>
        <w:widowControl w:val="0"/>
        <w:numPr>
          <w:ilvl w:val="0"/>
          <w:numId w:val="3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先控制，后消灭：针对危险化学品火灾的火势发展蔓延快和燃烧面积大的特点，积极采取统一指挥、以快制快，堵截火势、防止蔓延；重点突破、排除险情，分割包围、速战速决的灭火战术；</w:t>
      </w:r>
    </w:p>
    <w:p w14:paraId="7ABF87D6">
      <w:pPr>
        <w:keepNext w:val="0"/>
        <w:keepLines w:val="0"/>
        <w:pageBreakBefore w:val="0"/>
        <w:widowControl w:val="0"/>
        <w:numPr>
          <w:ilvl w:val="0"/>
          <w:numId w:val="3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扑救人员应占领上风向或侧风向阵地；</w:t>
      </w:r>
    </w:p>
    <w:p w14:paraId="0D346441">
      <w:pPr>
        <w:keepNext w:val="0"/>
        <w:keepLines w:val="0"/>
        <w:pageBreakBefore w:val="0"/>
        <w:widowControl w:val="0"/>
        <w:numPr>
          <w:ilvl w:val="0"/>
          <w:numId w:val="3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进行火情侦察、火灾扑救、火场疏散人员应有针对性的采取自我防护措施，如佩戴防护面具，穿戴专用防护服等；</w:t>
      </w:r>
    </w:p>
    <w:p w14:paraId="67B70A29">
      <w:pPr>
        <w:keepNext w:val="0"/>
        <w:keepLines w:val="0"/>
        <w:pageBreakBefore w:val="0"/>
        <w:widowControl w:val="0"/>
        <w:numPr>
          <w:ilvl w:val="0"/>
          <w:numId w:val="3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迅速查明燃烧面积、燃烧物品及周围物品的品名和主要危险特性、火势蔓延的主要途径、燃烧的危险化学品及燃烧产物是否有毒；</w:t>
      </w:r>
    </w:p>
    <w:p w14:paraId="454F20D5">
      <w:pPr>
        <w:keepNext w:val="0"/>
        <w:keepLines w:val="0"/>
        <w:pageBreakBefore w:val="0"/>
        <w:widowControl w:val="0"/>
        <w:numPr>
          <w:ilvl w:val="0"/>
          <w:numId w:val="3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正确选择最适合的灭火剂和灭火办法，火势较大时，应先堵截火势蔓延，控制燃烧面积，然后逐步扑灭火势，对有可能发生爆炸、爆裂、喷溅等特别危险需紧急撤退的情况，应按照统一的撤退方法及时撤退；</w:t>
      </w:r>
    </w:p>
    <w:p w14:paraId="59679889">
      <w:pPr>
        <w:keepNext w:val="0"/>
        <w:keepLines w:val="0"/>
        <w:pageBreakBefore w:val="0"/>
        <w:widowControl w:val="0"/>
        <w:numPr>
          <w:ilvl w:val="0"/>
          <w:numId w:val="32"/>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火灾扑灭后，仍然要派人监护现场，消灭余火，起火部门应当保护现场，接受事故调查，协助有关部门调查火灾原因，合适火灾损失，查明火灾责任，未经上级部门同意，不得擅自清理火灾现场。</w:t>
      </w:r>
    </w:p>
    <w:p w14:paraId="7DF9CE21">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3636010" cy="4922520"/>
            <wp:effectExtent l="0" t="0" r="2540" b="11430"/>
            <wp:docPr id="8" name="图片 8" descr="C:\Users\Administrato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111.jpg"/>
                    <pic:cNvPicPr>
                      <a:picLocks noChangeAspect="1" noChangeArrowheads="1"/>
                    </pic:cNvPicPr>
                  </pic:nvPicPr>
                  <pic:blipFill>
                    <a:blip r:embed="rId60"/>
                    <a:srcRect/>
                    <a:stretch>
                      <a:fillRect/>
                    </a:stretch>
                  </pic:blipFill>
                  <pic:spPr>
                    <a:xfrm>
                      <a:off x="0" y="0"/>
                      <a:ext cx="3636010" cy="4922520"/>
                    </a:xfrm>
                    <a:prstGeom prst="rect">
                      <a:avLst/>
                    </a:prstGeom>
                    <a:noFill/>
                    <a:ln>
                      <a:noFill/>
                    </a:ln>
                  </pic:spPr>
                </pic:pic>
              </a:graphicData>
            </a:graphic>
          </wp:inline>
        </w:drawing>
      </w:r>
    </w:p>
    <w:p w14:paraId="61E1625A">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 火灾应急处理流程</w:t>
      </w:r>
    </w:p>
    <w:p w14:paraId="62EA32F4">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二、</w:t>
      </w:r>
      <w:r>
        <w:rPr>
          <w:rFonts w:hint="default" w:ascii="Times New Roman" w:hAnsi="Times New Roman" w:cs="Times New Roman"/>
          <w:b/>
          <w:bCs/>
          <w:color w:val="auto"/>
          <w:highlight w:val="none"/>
        </w:rPr>
        <w:t>恶劣天气及停水停电</w:t>
      </w:r>
    </w:p>
    <w:p w14:paraId="6DD800E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在出现暴雨、大风、停水和停电等恶劣情况下，工作将暂停，现场工作人员应完成如下操作：</w:t>
      </w:r>
    </w:p>
    <w:p w14:paraId="14C306BE">
      <w:pPr>
        <w:keepNext w:val="0"/>
        <w:keepLines w:val="0"/>
        <w:pageBreakBefore w:val="0"/>
        <w:widowControl w:val="0"/>
        <w:numPr>
          <w:ilvl w:val="0"/>
          <w:numId w:val="3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使用塑料衬垫盖住开挖地点/土壤料堆；</w:t>
      </w:r>
    </w:p>
    <w:p w14:paraId="16A8912E">
      <w:pPr>
        <w:keepNext w:val="0"/>
        <w:keepLines w:val="0"/>
        <w:pageBreakBefore w:val="0"/>
        <w:widowControl w:val="0"/>
        <w:numPr>
          <w:ilvl w:val="0"/>
          <w:numId w:val="3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所有仪器设备将关闭并妥善保护，以防损坏；</w:t>
      </w:r>
    </w:p>
    <w:p w14:paraId="1288826C">
      <w:pPr>
        <w:keepNext w:val="0"/>
        <w:keepLines w:val="0"/>
        <w:pageBreakBefore w:val="0"/>
        <w:widowControl w:val="0"/>
        <w:numPr>
          <w:ilvl w:val="0"/>
          <w:numId w:val="3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人员将转移至安全集中点，紧急事故协调员将决定何时需要疏散人员至场地外，并与火灾，警察及其它部门进行协调；</w:t>
      </w:r>
    </w:p>
    <w:p w14:paraId="33F21CD1">
      <w:pPr>
        <w:keepNext w:val="0"/>
        <w:keepLines w:val="0"/>
        <w:pageBreakBefore w:val="0"/>
        <w:widowControl w:val="0"/>
        <w:numPr>
          <w:ilvl w:val="0"/>
          <w:numId w:val="33"/>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紧急事故协调员将负责评估恶劣天气情况及停水停电并通知人员特定的应变措施，通知包括现场工人及承包商、场地的客户联系人以及当地应急管理部门。</w:t>
      </w:r>
    </w:p>
    <w:p w14:paraId="51C525A1">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三、</w:t>
      </w:r>
      <w:r>
        <w:rPr>
          <w:rFonts w:hint="default" w:ascii="Times New Roman" w:hAnsi="Times New Roman" w:cs="Times New Roman"/>
          <w:b/>
          <w:bCs/>
          <w:color w:val="auto"/>
          <w:highlight w:val="none"/>
        </w:rPr>
        <w:t>紧急医疗事故</w:t>
      </w:r>
    </w:p>
    <w:p w14:paraId="4210B21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在项目施工现场将至少配备一个急救箱以及一名受训人员。在发生医疗急救事故时，附近的工人应立即协助受伤人员，通知现场医护人员和紧急事故协调员并提供以下信息：</w:t>
      </w:r>
    </w:p>
    <w:p w14:paraId="5BE07C31">
      <w:pPr>
        <w:pStyle w:val="14"/>
        <w:keepNext w:val="0"/>
        <w:keepLines w:val="0"/>
        <w:pageBreakBefore w:val="0"/>
        <w:widowControl w:val="0"/>
        <w:numPr>
          <w:ilvl w:val="0"/>
          <w:numId w:val="3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伤员的工作场所；</w:t>
      </w:r>
    </w:p>
    <w:p w14:paraId="08938C98">
      <w:pPr>
        <w:pStyle w:val="14"/>
        <w:keepNext w:val="0"/>
        <w:keepLines w:val="0"/>
        <w:pageBreakBefore w:val="0"/>
        <w:widowControl w:val="0"/>
        <w:numPr>
          <w:ilvl w:val="0"/>
          <w:numId w:val="3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应急基本情况；</w:t>
      </w:r>
    </w:p>
    <w:p w14:paraId="50AB88CA">
      <w:pPr>
        <w:pStyle w:val="14"/>
        <w:keepNext w:val="0"/>
        <w:keepLines w:val="0"/>
        <w:pageBreakBefore w:val="0"/>
        <w:widowControl w:val="0"/>
        <w:numPr>
          <w:ilvl w:val="0"/>
          <w:numId w:val="3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伤员是否有意识；</w:t>
      </w:r>
    </w:p>
    <w:p w14:paraId="0FC68940">
      <w:pPr>
        <w:pStyle w:val="14"/>
        <w:keepNext w:val="0"/>
        <w:keepLines w:val="0"/>
        <w:pageBreakBefore w:val="0"/>
        <w:widowControl w:val="0"/>
        <w:numPr>
          <w:ilvl w:val="0"/>
          <w:numId w:val="34"/>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导致突发环境事件影响人员健康的特定条件。</w:t>
      </w:r>
    </w:p>
    <w:p w14:paraId="74424D4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没有危及生命安全的情况下，现场医护人员将根据伤病或事故的特性引导伤员进行清洗程序，随后再采用合适的急救或医疗程序，不能破坏事故地点及周边区域环境现状；如涉及到危机生命安全的环境事件，则立即通知医疗部门并由现场受训医护人员进行急救。</w:t>
      </w:r>
    </w:p>
    <w:p w14:paraId="04DCCC95">
      <w:pPr>
        <w:pStyle w:val="3"/>
        <w:bidi w:val="0"/>
        <w:rPr>
          <w:rFonts w:hint="default" w:ascii="Times New Roman" w:hAnsi="Times New Roman" w:cs="Times New Roman"/>
          <w:color w:val="auto"/>
          <w:highlight w:val="none"/>
        </w:rPr>
      </w:pPr>
      <w:bookmarkStart w:id="256" w:name="_Toc406099739"/>
      <w:bookmarkStart w:id="257" w:name="_Toc406099587"/>
      <w:bookmarkStart w:id="258" w:name="_Toc24621"/>
      <w:bookmarkStart w:id="259" w:name="_Toc406099863"/>
      <w:r>
        <w:rPr>
          <w:rFonts w:hint="default" w:ascii="Times New Roman" w:hAnsi="Times New Roman" w:cs="Times New Roman"/>
          <w:color w:val="auto"/>
          <w:highlight w:val="none"/>
          <w:lang w:val="en-US" w:eastAsia="zh-CN"/>
        </w:rPr>
        <w:t xml:space="preserve">6.5 </w:t>
      </w:r>
      <w:r>
        <w:rPr>
          <w:rFonts w:hint="default" w:ascii="Times New Roman" w:hAnsi="Times New Roman" w:cs="Times New Roman"/>
          <w:color w:val="auto"/>
          <w:highlight w:val="none"/>
        </w:rPr>
        <w:t>紧急疏散</w:t>
      </w:r>
      <w:bookmarkEnd w:id="256"/>
      <w:bookmarkEnd w:id="257"/>
      <w:bookmarkEnd w:id="258"/>
      <w:bookmarkEnd w:id="259"/>
    </w:p>
    <w:p w14:paraId="1B24E066">
      <w:pPr>
        <w:pStyle w:val="4"/>
        <w:bidi w:val="0"/>
        <w:rPr>
          <w:rFonts w:hint="default" w:ascii="Times New Roman" w:hAnsi="Times New Roman" w:cs="Times New Roman"/>
          <w:color w:val="auto"/>
          <w:highlight w:val="none"/>
        </w:rPr>
      </w:pPr>
      <w:bookmarkStart w:id="260" w:name="_Toc406099740"/>
      <w:bookmarkStart w:id="261" w:name="_Toc406099864"/>
      <w:bookmarkStart w:id="262" w:name="_Toc31663"/>
      <w:bookmarkStart w:id="263" w:name="_Toc406099588"/>
      <w:r>
        <w:rPr>
          <w:rFonts w:hint="default" w:ascii="Times New Roman" w:hAnsi="Times New Roman" w:cs="Times New Roman"/>
          <w:color w:val="auto"/>
          <w:highlight w:val="none"/>
          <w:lang w:val="en-US" w:eastAsia="zh-CN"/>
        </w:rPr>
        <w:t xml:space="preserve">6.5.1 </w:t>
      </w:r>
      <w:r>
        <w:rPr>
          <w:rFonts w:hint="default" w:ascii="Times New Roman" w:hAnsi="Times New Roman" w:cs="Times New Roman"/>
          <w:color w:val="auto"/>
          <w:highlight w:val="none"/>
        </w:rPr>
        <w:t>疏散联络方法</w:t>
      </w:r>
      <w:bookmarkEnd w:id="260"/>
      <w:bookmarkEnd w:id="261"/>
      <w:bookmarkEnd w:id="262"/>
      <w:bookmarkEnd w:id="263"/>
    </w:p>
    <w:p w14:paraId="4AD538A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在现场员工从危险泄漏威胁的区域撤离时，紧急事故协调员将启动全现场疏散，并立即通过电话、呼喊等方式告知相关人员及群众。</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相关领导的联络方式以及周边相关单位的联系方式应公示。</w:t>
      </w:r>
    </w:p>
    <w:p w14:paraId="0613692B">
      <w:pPr>
        <w:pStyle w:val="4"/>
        <w:bidi w:val="0"/>
        <w:rPr>
          <w:rFonts w:hint="default" w:ascii="Times New Roman" w:hAnsi="Times New Roman" w:cs="Times New Roman"/>
          <w:color w:val="auto"/>
          <w:highlight w:val="none"/>
        </w:rPr>
      </w:pPr>
      <w:bookmarkStart w:id="264" w:name="_Toc406099741"/>
      <w:bookmarkStart w:id="265" w:name="_Toc406099589"/>
      <w:bookmarkStart w:id="266" w:name="_Toc406099865"/>
      <w:bookmarkStart w:id="267" w:name="_Toc13368"/>
      <w:r>
        <w:rPr>
          <w:rFonts w:hint="default" w:ascii="Times New Roman" w:hAnsi="Times New Roman" w:cs="Times New Roman"/>
          <w:color w:val="auto"/>
          <w:highlight w:val="none"/>
          <w:lang w:val="en-US" w:eastAsia="zh-CN"/>
        </w:rPr>
        <w:t xml:space="preserve">6.5.2 </w:t>
      </w:r>
      <w:r>
        <w:rPr>
          <w:rFonts w:hint="default" w:ascii="Times New Roman" w:hAnsi="Times New Roman" w:cs="Times New Roman"/>
          <w:color w:val="auto"/>
          <w:highlight w:val="none"/>
        </w:rPr>
        <w:t>疏散步骤</w:t>
      </w:r>
      <w:bookmarkEnd w:id="264"/>
      <w:bookmarkEnd w:id="265"/>
      <w:bookmarkEnd w:id="266"/>
      <w:bookmarkEnd w:id="267"/>
    </w:p>
    <w:p w14:paraId="55FC845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当本次HCFC-141b生产线拆除项目在物料转移期间发生危险化学品等有毒有害物质泄漏，而需要紧急疏散撤离职工时，紧急事故协调员及承包商应在第一时间组织相关人员的疏散，主要步骤包括：</w:t>
      </w:r>
    </w:p>
    <w:p w14:paraId="46E5A25E">
      <w:pPr>
        <w:keepNext w:val="0"/>
        <w:keepLines w:val="0"/>
        <w:pageBreakBefore w:val="0"/>
        <w:widowControl w:val="0"/>
        <w:numPr>
          <w:ilvl w:val="0"/>
          <w:numId w:val="3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紧急事故协调员根据应急人员的汇报内容初步判定事故范围，根据当天主导风向、风速、气压等条件，划定危险区和安全区，组织人员尽量向事故泄漏点上风向撤离，若距离事故源点很远，难以迅速到达时，则应沿着垂直于风向迅速撤离至毒物扩散影响区范围外；</w:t>
      </w:r>
    </w:p>
    <w:p w14:paraId="6E113E05">
      <w:pPr>
        <w:keepNext w:val="0"/>
        <w:keepLines w:val="0"/>
        <w:pageBreakBefore w:val="0"/>
        <w:widowControl w:val="0"/>
        <w:numPr>
          <w:ilvl w:val="0"/>
          <w:numId w:val="3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如果可能威胁到厂区外居民安全时，还应根据以上原则做好疏散群众的工作，并及时向救援领导小组报告；</w:t>
      </w:r>
    </w:p>
    <w:p w14:paraId="003D4E64">
      <w:pPr>
        <w:keepNext w:val="0"/>
        <w:keepLines w:val="0"/>
        <w:pageBreakBefore w:val="0"/>
        <w:widowControl w:val="0"/>
        <w:numPr>
          <w:ilvl w:val="0"/>
          <w:numId w:val="3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疏散路线为现有周边道路、公路，撤退过程中应请当地交警部门指挥疏导交通，当经现场判断为重大环境风险事故，需进行大规模人员撤离时，应在厂区周围2 km道路范围内拉起警戒线，禁止外来车辆进入事故影响区域，同时应由现场指挥通知附近交警部门，对各道路进行暂时封道，待事故处理完毕后才可同行，疏散人员安置场所由公司出面租用事故安全区内学校、广场等设施；</w:t>
      </w:r>
    </w:p>
    <w:p w14:paraId="701876EA">
      <w:pPr>
        <w:keepNext w:val="0"/>
        <w:keepLines w:val="0"/>
        <w:pageBreakBefore w:val="0"/>
        <w:widowControl w:val="0"/>
        <w:numPr>
          <w:ilvl w:val="0"/>
          <w:numId w:val="35"/>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在疏散过程中，所有现场工作人员应集合在疏散安置区域出入口，相关负责人清点人数，在没有通报的情况下任何人不能离开场地。</w:t>
      </w:r>
    </w:p>
    <w:p w14:paraId="6025311F">
      <w:pPr>
        <w:pStyle w:val="3"/>
        <w:bidi w:val="0"/>
        <w:rPr>
          <w:rFonts w:hint="default" w:ascii="Times New Roman" w:hAnsi="Times New Roman" w:cs="Times New Roman"/>
          <w:color w:val="auto"/>
          <w:highlight w:val="none"/>
        </w:rPr>
      </w:pPr>
      <w:bookmarkStart w:id="268" w:name="_Toc24611"/>
      <w:bookmarkStart w:id="269" w:name="_Toc406099591"/>
      <w:bookmarkStart w:id="270" w:name="_Toc406099743"/>
      <w:bookmarkStart w:id="271" w:name="_Toc406099867"/>
      <w:r>
        <w:rPr>
          <w:rFonts w:hint="default" w:ascii="Times New Roman" w:hAnsi="Times New Roman" w:cs="Times New Roman"/>
          <w:color w:val="auto"/>
          <w:highlight w:val="none"/>
          <w:lang w:val="en-US" w:eastAsia="zh-CN"/>
        </w:rPr>
        <w:t xml:space="preserve">6.6 </w:t>
      </w:r>
      <w:r>
        <w:rPr>
          <w:rFonts w:hint="default" w:ascii="Times New Roman" w:hAnsi="Times New Roman" w:cs="Times New Roman"/>
          <w:color w:val="auto"/>
          <w:highlight w:val="none"/>
        </w:rPr>
        <w:t>后续处置</w:t>
      </w:r>
      <w:bookmarkEnd w:id="268"/>
      <w:bookmarkEnd w:id="269"/>
      <w:bookmarkEnd w:id="270"/>
      <w:bookmarkEnd w:id="271"/>
    </w:p>
    <w:p w14:paraId="71037D01">
      <w:pPr>
        <w:bidi w:val="0"/>
        <w:rPr>
          <w:rFonts w:hint="default" w:ascii="Times New Roman" w:hAnsi="Times New Roman" w:cs="Times New Roman"/>
          <w:color w:val="auto"/>
          <w:highlight w:val="none"/>
        </w:rPr>
        <w:sectPr>
          <w:pgSz w:w="11906" w:h="16838"/>
          <w:pgMar w:top="1440" w:right="1800" w:bottom="1440" w:left="1800" w:header="794" w:footer="992" w:gutter="0"/>
          <w:pgNumType w:fmt="decimal"/>
          <w:cols w:space="425" w:num="1"/>
          <w:docGrid w:type="lines" w:linePitch="312" w:charSpace="0"/>
        </w:sectPr>
      </w:pPr>
      <w:r>
        <w:rPr>
          <w:rFonts w:hint="default" w:ascii="Times New Roman" w:hAnsi="Times New Roman" w:cs="Times New Roman"/>
          <w:color w:val="auto"/>
          <w:highlight w:val="none"/>
        </w:rPr>
        <w:t>在发生环境事故后，根据上述措施采取响应应急措施，并在应急终止后，进行受灾人员的安置工作及损失赔偿等善后工作，并对现场污染物进行后续处理，对应急仪器设备进行维护、保养，进行撤点、撤离和交接程序，逐步恢复本拆除项目的正常实施秩序。</w:t>
      </w:r>
    </w:p>
    <w:p w14:paraId="4FE8766F">
      <w:pPr>
        <w:pStyle w:val="2"/>
        <w:bidi w:val="0"/>
        <w:rPr>
          <w:rFonts w:hint="default" w:ascii="Times New Roman" w:hAnsi="Times New Roman" w:cs="Times New Roman"/>
          <w:color w:val="auto"/>
          <w:highlight w:val="none"/>
        </w:rPr>
      </w:pPr>
      <w:bookmarkStart w:id="272" w:name="_Toc406099868"/>
      <w:bookmarkStart w:id="273" w:name="_Toc406099592"/>
      <w:bookmarkStart w:id="274" w:name="_Toc406099744"/>
      <w:bookmarkStart w:id="275" w:name="_Toc14269"/>
      <w:r>
        <w:rPr>
          <w:rFonts w:hint="default" w:ascii="Times New Roman" w:hAnsi="Times New Roman" w:cs="Times New Roman"/>
          <w:color w:val="auto"/>
          <w:highlight w:val="none"/>
          <w:lang w:val="en-US" w:eastAsia="zh-CN"/>
        </w:rPr>
        <w:t xml:space="preserve">7 </w:t>
      </w:r>
      <w:r>
        <w:rPr>
          <w:rFonts w:hint="default" w:ascii="Times New Roman" w:hAnsi="Times New Roman" w:cs="Times New Roman"/>
          <w:color w:val="auto"/>
          <w:highlight w:val="none"/>
        </w:rPr>
        <w:t>环境培训计划</w:t>
      </w:r>
      <w:bookmarkEnd w:id="272"/>
      <w:bookmarkEnd w:id="273"/>
      <w:bookmarkEnd w:id="274"/>
      <w:bookmarkEnd w:id="275"/>
    </w:p>
    <w:p w14:paraId="5997A03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在开展与拆除项目相关的任何活动之前，涉及的所有员工需进行培训。接受培训的对象包括</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业主项目组的环境管理人员以及承包商、承包商雇佣工等。</w:t>
      </w:r>
    </w:p>
    <w:p w14:paraId="24CEF96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在项目实施期间，项目承包商将邀请具有类似经验的环境专家或环境机构来进行针对潜在问题和相应解决方案的场地培训，培训的教材应含有本环境管理计划，并根据3章节中的职责分工分别进行重点培训。</w:t>
      </w:r>
    </w:p>
    <w:p w14:paraId="7100437D">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一、</w:t>
      </w:r>
      <w:r>
        <w:rPr>
          <w:rFonts w:hint="default" w:ascii="Times New Roman" w:hAnsi="Times New Roman" w:cs="Times New Roman"/>
          <w:b/>
          <w:bCs/>
          <w:color w:val="auto"/>
          <w:highlight w:val="none"/>
        </w:rPr>
        <w:t>项目业主（至少</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人</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安环部主管、车间主任、车间安全员等</w:t>
      </w:r>
      <w:r>
        <w:rPr>
          <w:rFonts w:hint="default" w:ascii="Times New Roman" w:hAnsi="Times New Roman" w:cs="Times New Roman"/>
          <w:b/>
          <w:bCs/>
          <w:color w:val="auto"/>
          <w:highlight w:val="none"/>
        </w:rPr>
        <w:t>）</w:t>
      </w:r>
    </w:p>
    <w:p w14:paraId="7AE0D58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项目员工的培训目的是为了加强在项目实施阶段的环境管理，确保环境管理的有效性，从而改善项目总体质量。通过培训，环境管理人员能够鉴定主要的环境问题和环境管理中的缺陷，并促使承包商尽快采取必要的预防措施。</w:t>
      </w:r>
    </w:p>
    <w:p w14:paraId="113C4079">
      <w:pPr>
        <w:ind w:firstLineChars="0"/>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lang w:val="en-US" w:eastAsia="zh-CN"/>
        </w:rPr>
        <w:t>二、</w:t>
      </w:r>
      <w:r>
        <w:rPr>
          <w:rFonts w:hint="default" w:ascii="Times New Roman" w:hAnsi="Times New Roman" w:cs="Times New Roman"/>
          <w:b/>
          <w:color w:val="auto"/>
          <w:highlight w:val="none"/>
          <w:u w:val="none"/>
        </w:rPr>
        <w:t>承包商及现场雇工（20人）</w:t>
      </w:r>
    </w:p>
    <w:p w14:paraId="05A9DD82">
      <w:pPr>
        <w:keepNext w:val="0"/>
        <w:keepLines w:val="0"/>
        <w:pageBreakBefore w:val="0"/>
        <w:widowControl w:val="0"/>
        <w:numPr>
          <w:ilvl w:val="0"/>
          <w:numId w:val="3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目的：承包商环境人员的培训是要确定项目承包商的环境管理责任，工作人员的培训处理的是项目实施期间正确操作方法的问题，以减少或避免不必要的损失。通过培训，承包商应知道其承担的环境保护责任以及环境破坏可能导致的结果，工作人员能够清楚了解环境敏感点的保护方法和程度；</w:t>
      </w:r>
    </w:p>
    <w:p w14:paraId="336E2F66">
      <w:pPr>
        <w:keepNext w:val="0"/>
        <w:keepLines w:val="0"/>
        <w:pageBreakBefore w:val="0"/>
        <w:widowControl w:val="0"/>
        <w:numPr>
          <w:ilvl w:val="0"/>
          <w:numId w:val="3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时间：在正式施工之前，对承包商及现场工作人员</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rPr>
        <w:t>培训；</w:t>
      </w:r>
    </w:p>
    <w:p w14:paraId="0E4737D2">
      <w:pPr>
        <w:keepNext w:val="0"/>
        <w:keepLines w:val="0"/>
        <w:pageBreakBefore w:val="0"/>
        <w:widowControl w:val="0"/>
        <w:numPr>
          <w:ilvl w:val="0"/>
          <w:numId w:val="36"/>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sectPr>
          <w:pgSz w:w="11906" w:h="16838"/>
          <w:pgMar w:top="1440" w:right="1800" w:bottom="1440" w:left="1800" w:header="794" w:footer="992" w:gutter="0"/>
          <w:pgNumType w:fmt="decimal"/>
          <w:cols w:space="425" w:num="1"/>
          <w:docGrid w:type="lines" w:linePitch="312" w:charSpace="0"/>
        </w:sectPr>
      </w:pPr>
      <w:r>
        <w:rPr>
          <w:rFonts w:hint="default" w:ascii="Times New Roman" w:hAnsi="Times New Roman" w:cs="Times New Roman"/>
          <w:color w:val="auto"/>
          <w:highlight w:val="none"/>
        </w:rPr>
        <w:t>内容：对承包商的培训内容应全面涉及到现场相关环境行为，</w:t>
      </w:r>
      <w:r>
        <w:rPr>
          <w:rFonts w:hint="default" w:ascii="Times New Roman" w:hAnsi="Times New Roman" w:cs="Times New Roman"/>
          <w:color w:val="auto"/>
          <w:highlight w:val="none"/>
          <w:lang w:val="en-US" w:eastAsia="zh-CN"/>
        </w:rPr>
        <w:t>包括对环境管理计划进行讲解，</w:t>
      </w:r>
      <w:r>
        <w:rPr>
          <w:rFonts w:hint="default" w:ascii="Times New Roman" w:hAnsi="Times New Roman" w:cs="Times New Roman"/>
          <w:color w:val="auto"/>
          <w:highlight w:val="none"/>
        </w:rPr>
        <w:t>除此之外还应包括个人防护的培训（操作人员在操作过程中正确佩戴、使用个人防护装备，如人工呼吸面罩、一次性防护服、手套和橡胶靴、脸部防护罩、透风护目镜以及其它合适的防护装备），以及培训操作人员正确使用各种清除工具以及清除工具的存放、处理处置等内容。</w:t>
      </w:r>
    </w:p>
    <w:p w14:paraId="111BE6EA">
      <w:pPr>
        <w:pStyle w:val="2"/>
        <w:bidi w:val="0"/>
        <w:rPr>
          <w:rFonts w:hint="default" w:ascii="Times New Roman" w:hAnsi="Times New Roman" w:cs="Times New Roman"/>
          <w:color w:val="auto"/>
          <w:highlight w:val="none"/>
        </w:rPr>
      </w:pPr>
      <w:bookmarkStart w:id="276" w:name="_Toc406099745"/>
      <w:bookmarkStart w:id="277" w:name="_Toc19207"/>
      <w:bookmarkStart w:id="278" w:name="_Toc406099869"/>
      <w:bookmarkStart w:id="279" w:name="_Toc406099593"/>
      <w:r>
        <w:rPr>
          <w:rFonts w:hint="default" w:ascii="Times New Roman" w:hAnsi="Times New Roman" w:cs="Times New Roman"/>
          <w:color w:val="auto"/>
          <w:highlight w:val="none"/>
          <w:lang w:val="en-US" w:eastAsia="zh-CN"/>
        </w:rPr>
        <w:t xml:space="preserve">8 </w:t>
      </w:r>
      <w:r>
        <w:rPr>
          <w:rFonts w:hint="default" w:ascii="Times New Roman" w:hAnsi="Times New Roman" w:cs="Times New Roman"/>
          <w:color w:val="auto"/>
          <w:highlight w:val="none"/>
        </w:rPr>
        <w:t>环境修复计划</w:t>
      </w:r>
      <w:bookmarkEnd w:id="276"/>
      <w:bookmarkEnd w:id="277"/>
      <w:bookmarkEnd w:id="278"/>
      <w:bookmarkEnd w:id="279"/>
    </w:p>
    <w:p w14:paraId="70D89F61">
      <w:pPr>
        <w:pStyle w:val="3"/>
        <w:bidi w:val="0"/>
        <w:rPr>
          <w:rFonts w:hint="default" w:ascii="Times New Roman" w:hAnsi="Times New Roman" w:cs="Times New Roman"/>
          <w:color w:val="auto"/>
          <w:highlight w:val="none"/>
        </w:rPr>
      </w:pPr>
      <w:bookmarkStart w:id="280" w:name="_Toc32337"/>
      <w:bookmarkStart w:id="281" w:name="_Toc406099746"/>
      <w:bookmarkStart w:id="282" w:name="_Toc406099594"/>
      <w:bookmarkStart w:id="283" w:name="_Toc406099870"/>
      <w:r>
        <w:rPr>
          <w:rFonts w:hint="default" w:ascii="Times New Roman" w:hAnsi="Times New Roman" w:cs="Times New Roman"/>
          <w:color w:val="auto"/>
          <w:highlight w:val="none"/>
          <w:lang w:val="en-US" w:eastAsia="zh-CN"/>
        </w:rPr>
        <w:t xml:space="preserve">8.1 </w:t>
      </w:r>
      <w:r>
        <w:rPr>
          <w:rFonts w:hint="default" w:ascii="Times New Roman" w:hAnsi="Times New Roman" w:cs="Times New Roman"/>
          <w:color w:val="auto"/>
          <w:highlight w:val="none"/>
        </w:rPr>
        <w:t>场地环境调查</w:t>
      </w:r>
      <w:bookmarkEnd w:id="280"/>
      <w:bookmarkEnd w:id="281"/>
      <w:bookmarkEnd w:id="282"/>
      <w:bookmarkEnd w:id="283"/>
    </w:p>
    <w:p w14:paraId="767AF51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HCFC-141b生产线关闭项目结束后，业主应聘请有经验的环境咨询机构进行场地环境调查，向</w:t>
      </w:r>
      <w:r>
        <w:rPr>
          <w:rFonts w:hint="default" w:ascii="Times New Roman" w:hAnsi="Times New Roman" w:cs="Times New Roman"/>
          <w:color w:val="auto"/>
          <w:highlight w:val="none"/>
          <w:lang w:eastAsia="zh-CN"/>
        </w:rPr>
        <w:t>生态环境部对外合作与交流中心</w:t>
      </w:r>
      <w:r>
        <w:rPr>
          <w:rFonts w:hint="default" w:ascii="Times New Roman" w:hAnsi="Times New Roman" w:cs="Times New Roman"/>
          <w:color w:val="auto"/>
          <w:highlight w:val="none"/>
        </w:rPr>
        <w:t>及世界银行提交场地环境调查报告，并根据后者的意见对报告进行修改。</w:t>
      </w:r>
    </w:p>
    <w:p w14:paraId="7B2923D8">
      <w:pPr>
        <w:pStyle w:val="3"/>
        <w:bidi w:val="0"/>
        <w:rPr>
          <w:rFonts w:hint="default" w:ascii="Times New Roman" w:hAnsi="Times New Roman" w:cs="Times New Roman"/>
          <w:color w:val="auto"/>
          <w:highlight w:val="none"/>
        </w:rPr>
      </w:pPr>
      <w:bookmarkStart w:id="284" w:name="_Toc406099747"/>
      <w:bookmarkStart w:id="285" w:name="_Toc406099871"/>
      <w:bookmarkStart w:id="286" w:name="_Toc10925"/>
      <w:bookmarkStart w:id="287" w:name="_Toc406099595"/>
      <w:r>
        <w:rPr>
          <w:rFonts w:hint="default" w:ascii="Times New Roman" w:hAnsi="Times New Roman" w:cs="Times New Roman"/>
          <w:color w:val="auto"/>
          <w:highlight w:val="none"/>
          <w:lang w:val="en-US" w:eastAsia="zh-CN"/>
        </w:rPr>
        <w:t xml:space="preserve">8.2 </w:t>
      </w:r>
      <w:r>
        <w:rPr>
          <w:rFonts w:hint="default" w:ascii="Times New Roman" w:hAnsi="Times New Roman" w:cs="Times New Roman"/>
          <w:color w:val="auto"/>
          <w:highlight w:val="none"/>
        </w:rPr>
        <w:t>场地环境及健康风险评估</w:t>
      </w:r>
      <w:bookmarkEnd w:id="284"/>
      <w:bookmarkEnd w:id="285"/>
      <w:bookmarkEnd w:id="286"/>
      <w:bookmarkEnd w:id="287"/>
    </w:p>
    <w:p w14:paraId="3DCDC80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在开展场地环境调查工作后，报告编制单位及相关管理单位认为需要采取污染场地风险评估的，业主应聘请有经验的环境咨询机构进行场地环境及人体健康风险评估工作，向</w:t>
      </w:r>
      <w:r>
        <w:rPr>
          <w:rFonts w:hint="default" w:ascii="Times New Roman" w:hAnsi="Times New Roman" w:cs="Times New Roman"/>
          <w:color w:val="auto"/>
          <w:highlight w:val="none"/>
          <w:lang w:eastAsia="zh-CN"/>
        </w:rPr>
        <w:t>生态环境部对外合作与交流中心</w:t>
      </w:r>
      <w:r>
        <w:rPr>
          <w:rFonts w:hint="default" w:ascii="Times New Roman" w:hAnsi="Times New Roman" w:cs="Times New Roman"/>
          <w:color w:val="auto"/>
          <w:highlight w:val="none"/>
        </w:rPr>
        <w:t>及世界银行提交污染场地环境风险评估报告，并根据后者的意见对报告进行修改。</w:t>
      </w:r>
    </w:p>
    <w:p w14:paraId="22D510EB">
      <w:pPr>
        <w:pStyle w:val="3"/>
        <w:bidi w:val="0"/>
        <w:rPr>
          <w:rFonts w:hint="default" w:ascii="Times New Roman" w:hAnsi="Times New Roman" w:cs="Times New Roman"/>
          <w:color w:val="auto"/>
          <w:highlight w:val="none"/>
        </w:rPr>
      </w:pPr>
      <w:bookmarkStart w:id="288" w:name="_Toc406099872"/>
      <w:bookmarkStart w:id="289" w:name="_Toc406099748"/>
      <w:bookmarkStart w:id="290" w:name="_Toc406099596"/>
      <w:bookmarkStart w:id="291" w:name="_Toc27104"/>
      <w:r>
        <w:rPr>
          <w:rFonts w:hint="default" w:ascii="Times New Roman" w:hAnsi="Times New Roman" w:cs="Times New Roman"/>
          <w:color w:val="auto"/>
          <w:highlight w:val="none"/>
          <w:lang w:val="en-US" w:eastAsia="zh-CN"/>
        </w:rPr>
        <w:t xml:space="preserve">8.3 </w:t>
      </w:r>
      <w:r>
        <w:rPr>
          <w:rFonts w:hint="default" w:ascii="Times New Roman" w:hAnsi="Times New Roman" w:cs="Times New Roman"/>
          <w:color w:val="auto"/>
          <w:highlight w:val="none"/>
        </w:rPr>
        <w:t>场地修复计划</w:t>
      </w:r>
      <w:bookmarkEnd w:id="288"/>
      <w:bookmarkEnd w:id="289"/>
      <w:bookmarkEnd w:id="290"/>
      <w:bookmarkEnd w:id="291"/>
    </w:p>
    <w:p w14:paraId="3D0742E0">
      <w:pPr>
        <w:bidi w:val="0"/>
        <w:rPr>
          <w:rFonts w:hint="default" w:ascii="Times New Roman" w:hAnsi="Times New Roman" w:cs="Times New Roman"/>
          <w:color w:val="auto"/>
          <w:highlight w:val="none"/>
        </w:rPr>
        <w:sectPr>
          <w:pgSz w:w="11906" w:h="16838"/>
          <w:pgMar w:top="1440" w:right="1800" w:bottom="1440" w:left="1800" w:header="794" w:footer="992" w:gutter="0"/>
          <w:pgNumType w:fmt="decimal"/>
          <w:cols w:space="425" w:num="1"/>
          <w:docGrid w:type="lines" w:linePitch="312" w:charSpace="0"/>
        </w:sectPr>
      </w:pPr>
      <w:r>
        <w:rPr>
          <w:rFonts w:hint="default" w:ascii="Times New Roman" w:hAnsi="Times New Roman" w:cs="Times New Roman"/>
          <w:color w:val="auto"/>
          <w:highlight w:val="none"/>
        </w:rPr>
        <w:t>在开展场地环境及健康风险评估工作后，报告编制单位及相关管理单位认为需要采取场地修复工作的，业主应聘请有经验的环境咨询及场地修复机构制定污染场地修复计划，并根据</w:t>
      </w:r>
      <w:r>
        <w:rPr>
          <w:rFonts w:hint="default" w:ascii="Times New Roman" w:hAnsi="Times New Roman" w:cs="Times New Roman"/>
          <w:color w:val="auto"/>
          <w:highlight w:val="none"/>
          <w:lang w:eastAsia="zh-CN"/>
        </w:rPr>
        <w:t>生态环境部对外合作与交流中心</w:t>
      </w:r>
      <w:r>
        <w:rPr>
          <w:rFonts w:hint="default" w:ascii="Times New Roman" w:hAnsi="Times New Roman" w:cs="Times New Roman"/>
          <w:color w:val="auto"/>
          <w:highlight w:val="none"/>
        </w:rPr>
        <w:t>及世界银行环境专家的意见对计划进行修改。</w:t>
      </w:r>
    </w:p>
    <w:p w14:paraId="054EBD65">
      <w:pPr>
        <w:pStyle w:val="2"/>
        <w:bidi w:val="0"/>
        <w:rPr>
          <w:rFonts w:hint="default" w:ascii="Times New Roman" w:hAnsi="Times New Roman" w:cs="Times New Roman"/>
          <w:color w:val="auto"/>
          <w:highlight w:val="none"/>
        </w:rPr>
      </w:pPr>
      <w:bookmarkStart w:id="292" w:name="_Toc406099597"/>
      <w:bookmarkStart w:id="293" w:name="_Toc406099749"/>
      <w:bookmarkStart w:id="294" w:name="_Toc406099873"/>
      <w:bookmarkStart w:id="295" w:name="_Toc461449354"/>
      <w:bookmarkStart w:id="296" w:name="_Toc23207"/>
      <w:r>
        <w:rPr>
          <w:rFonts w:hint="default" w:ascii="Times New Roman" w:hAnsi="Times New Roman" w:cs="Times New Roman"/>
          <w:color w:val="auto"/>
          <w:highlight w:val="none"/>
          <w:lang w:val="en-US" w:eastAsia="zh-CN"/>
        </w:rPr>
        <w:t xml:space="preserve">9 </w:t>
      </w:r>
      <w:r>
        <w:rPr>
          <w:rFonts w:hint="default" w:ascii="Times New Roman" w:hAnsi="Times New Roman" w:cs="Times New Roman"/>
          <w:color w:val="auto"/>
          <w:highlight w:val="none"/>
        </w:rPr>
        <w:t>公众参与</w:t>
      </w:r>
      <w:bookmarkEnd w:id="292"/>
      <w:bookmarkEnd w:id="293"/>
      <w:bookmarkEnd w:id="294"/>
      <w:bookmarkEnd w:id="295"/>
      <w:bookmarkEnd w:id="296"/>
    </w:p>
    <w:p w14:paraId="3E16574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本项目在拆除工作开始前，完成《环境管理计划》初稿后的7个工作日内，向公众公开征集意见，征集的方式包括网络、纸质媒体、现场及周边社区走访、张贴等，应包括以下信息：</w:t>
      </w:r>
    </w:p>
    <w:p w14:paraId="7C810488">
      <w:pPr>
        <w:keepNext w:val="0"/>
        <w:keepLines w:val="0"/>
        <w:pageBreakBefore w:val="0"/>
        <w:widowControl w:val="0"/>
        <w:numPr>
          <w:ilvl w:val="0"/>
          <w:numId w:val="3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项目的名称及概要；</w:t>
      </w:r>
    </w:p>
    <w:p w14:paraId="3644E53B">
      <w:pPr>
        <w:keepNext w:val="0"/>
        <w:keepLines w:val="0"/>
        <w:pageBreakBefore w:val="0"/>
        <w:widowControl w:val="0"/>
        <w:numPr>
          <w:ilvl w:val="0"/>
          <w:numId w:val="3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项目的建设单位的名称和联系方式；</w:t>
      </w:r>
    </w:p>
    <w:p w14:paraId="38857273">
      <w:pPr>
        <w:keepNext w:val="0"/>
        <w:keepLines w:val="0"/>
        <w:pageBreakBefore w:val="0"/>
        <w:widowControl w:val="0"/>
        <w:numPr>
          <w:ilvl w:val="0"/>
          <w:numId w:val="3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《环境管理计划》编制方、工程承包商的名称和联系方式；</w:t>
      </w:r>
    </w:p>
    <w:p w14:paraId="0946A482">
      <w:pPr>
        <w:keepNext w:val="0"/>
        <w:keepLines w:val="0"/>
        <w:pageBreakBefore w:val="0"/>
        <w:widowControl w:val="0"/>
        <w:numPr>
          <w:ilvl w:val="0"/>
          <w:numId w:val="3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《环境管理计划》初稿；</w:t>
      </w:r>
    </w:p>
    <w:p w14:paraId="3E51CA93">
      <w:pPr>
        <w:keepNext w:val="0"/>
        <w:keepLines w:val="0"/>
        <w:pageBreakBefore w:val="0"/>
        <w:widowControl w:val="0"/>
        <w:numPr>
          <w:ilvl w:val="0"/>
          <w:numId w:val="3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征求公众意见的主要事项；</w:t>
      </w:r>
    </w:p>
    <w:p w14:paraId="31269594">
      <w:pPr>
        <w:keepNext w:val="0"/>
        <w:keepLines w:val="0"/>
        <w:pageBreakBefore w:val="0"/>
        <w:widowControl w:val="0"/>
        <w:numPr>
          <w:ilvl w:val="0"/>
          <w:numId w:val="37"/>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公众提出意见的主要方式。</w:t>
      </w:r>
    </w:p>
    <w:p w14:paraId="6D4F60C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公众参与形式与内容</w:t>
      </w:r>
      <w:r>
        <w:rPr>
          <w:rFonts w:hint="default" w:ascii="Times New Roman" w:hAnsi="Times New Roman" w:cs="Times New Roman"/>
          <w:color w:val="auto"/>
          <w:highlight w:val="none"/>
          <w:lang w:val="en-US" w:eastAsia="zh-CN"/>
        </w:rPr>
        <w:t>为：</w:t>
      </w:r>
    </w:p>
    <w:p w14:paraId="027A9CEC">
      <w:pPr>
        <w:keepNext w:val="0"/>
        <w:keepLines w:val="0"/>
        <w:pageBreakBefore w:val="0"/>
        <w:widowControl w:val="0"/>
        <w:numPr>
          <w:ilvl w:val="0"/>
          <w:numId w:val="3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周边影响受众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周边村民、企业员工、园区领导等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座谈会公示HCFC-141b生产拆除项目环境管理计划</w:t>
      </w:r>
      <w:r>
        <w:rPr>
          <w:rFonts w:hint="default" w:ascii="Times New Roman" w:hAnsi="Times New Roman" w:cs="Times New Roman"/>
          <w:color w:val="auto"/>
          <w:highlight w:val="none"/>
          <w:lang w:eastAsia="zh-CN"/>
        </w:rPr>
        <w:t>；</w:t>
      </w:r>
    </w:p>
    <w:p w14:paraId="6580F725">
      <w:pPr>
        <w:keepNext w:val="0"/>
        <w:keepLines w:val="0"/>
        <w:pageBreakBefore w:val="0"/>
        <w:widowControl w:val="0"/>
        <w:numPr>
          <w:ilvl w:val="0"/>
          <w:numId w:val="38"/>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平面媒体公示HCFC-141b生产拆除项目环境管理计划。</w:t>
      </w:r>
    </w:p>
    <w:p w14:paraId="6C1B64CF">
      <w:pPr>
        <w:bidi w:val="0"/>
        <w:rPr>
          <w:rFonts w:hint="default" w:ascii="Times New Roman" w:hAnsi="Times New Roman" w:cs="Times New Roman"/>
          <w:b/>
          <w:bCs/>
          <w:color w:val="auto"/>
          <w:highlight w:val="none"/>
        </w:rPr>
      </w:pPr>
      <w:bookmarkStart w:id="297" w:name="_Toc39070990"/>
      <w:r>
        <w:rPr>
          <w:rFonts w:hint="default" w:ascii="Times New Roman" w:hAnsi="Times New Roman" w:cs="Times New Roman"/>
          <w:b/>
          <w:bCs/>
          <w:color w:val="auto"/>
          <w:highlight w:val="none"/>
          <w:lang w:val="en-US" w:eastAsia="zh-CN"/>
        </w:rPr>
        <w:t>一、</w:t>
      </w:r>
      <w:r>
        <w:rPr>
          <w:rFonts w:hint="default" w:ascii="Times New Roman" w:hAnsi="Times New Roman" w:cs="Times New Roman"/>
          <w:b/>
          <w:bCs/>
          <w:color w:val="auto"/>
          <w:highlight w:val="none"/>
        </w:rPr>
        <w:t>抱怨与申诉机制</w:t>
      </w:r>
      <w:bookmarkEnd w:id="297"/>
    </w:p>
    <w:p w14:paraId="7AB998E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抱怨和申诉机制是项目建设方与公众之间的一种双向交流；是本项目消解自身风险减少社会影响的一个重要机制，也是项目信息公开透明和公众参与的重要方式。项目办建立一套透明度高、简单易行的不满和抱怨收集和处理程序，以便客观公正、高效率地处理群众的不满问题，保证社会管理计划工作顺利进行。</w:t>
      </w:r>
    </w:p>
    <w:p w14:paraId="091F868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抱怨申诉的主体主要为项目区域内受到征地拆迁影响的群体，以及其他群体，也包括建筑工人等。</w:t>
      </w:r>
    </w:p>
    <w:p w14:paraId="0C94A55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抱怨和申诉的内容必须与本项目直接或者间接关联的。</w:t>
      </w:r>
    </w:p>
    <w:p w14:paraId="07952CC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抱怨和申诉的对象呈现多元化，主要指与群众当地基层政权组织或更高级政府机构、项目办、司法机关等。</w:t>
      </w:r>
    </w:p>
    <w:p w14:paraId="0C707BE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抱怨和申诉的方式主要有口头和书面申诉两种。口头申诉是指申诉人以非书面的形式向项目办、村社、其他政府部门或相关工作人员反映遇到问题或者困难。书面申诉是指申诉人向相关责任机构或部分正式提交书面申请书，署名申诉人本人的基本信息、申诉事项、申诉原因、预期解决方案或其他意见建议等。</w:t>
      </w:r>
    </w:p>
    <w:p w14:paraId="162352B4">
      <w:pPr>
        <w:bidi w:val="0"/>
        <w:rPr>
          <w:rFonts w:hint="default" w:ascii="Times New Roman" w:hAnsi="Times New Roman" w:cs="Times New Roman"/>
          <w:b/>
          <w:bCs/>
          <w:color w:val="auto"/>
          <w:highlight w:val="none"/>
        </w:rPr>
      </w:pPr>
      <w:bookmarkStart w:id="298" w:name="_Toc39070991"/>
      <w:r>
        <w:rPr>
          <w:rFonts w:hint="default" w:ascii="Times New Roman" w:hAnsi="Times New Roman" w:cs="Times New Roman"/>
          <w:b/>
          <w:bCs/>
          <w:color w:val="auto"/>
          <w:highlight w:val="none"/>
          <w:lang w:val="en-US" w:eastAsia="zh-CN"/>
        </w:rPr>
        <w:t>二、</w:t>
      </w:r>
      <w:r>
        <w:rPr>
          <w:rFonts w:hint="default" w:ascii="Times New Roman" w:hAnsi="Times New Roman" w:cs="Times New Roman"/>
          <w:b/>
          <w:bCs/>
          <w:color w:val="auto"/>
          <w:highlight w:val="none"/>
        </w:rPr>
        <w:t>收集抱怨的方式</w:t>
      </w:r>
      <w:bookmarkEnd w:id="298"/>
    </w:p>
    <w:p w14:paraId="2922349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（1）通过社区（村）居委会或者街道安置办公室的报告，包括群众抱怨、进度、工作措施、存在的问题。</w:t>
      </w:r>
    </w:p>
    <w:p w14:paraId="6868463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（2）施工单位每天向业主建设单位发生的施工日志，主要是通过施工单位反映的群众影响施工的情况。</w:t>
      </w:r>
    </w:p>
    <w:p w14:paraId="01B7D62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（3）业主建设单位施工现场巡查中发现的问题。</w:t>
      </w:r>
    </w:p>
    <w:p w14:paraId="0260DF5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（4）外部监测机构反映的有关信息。</w:t>
      </w:r>
    </w:p>
    <w:p w14:paraId="65C3215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（5）受影响人的来信、来访。</w:t>
      </w:r>
    </w:p>
    <w:p w14:paraId="729C3E8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（6）业主建设单位派出机构—工作站的情况反映。</w:t>
      </w:r>
    </w:p>
    <w:p w14:paraId="1CD463A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（7）审计、纪检等部门工作检查中反映的相关专题问题。</w:t>
      </w:r>
    </w:p>
    <w:p w14:paraId="4885F71C">
      <w:pPr>
        <w:bidi w:val="0"/>
        <w:rPr>
          <w:rFonts w:hint="default" w:ascii="Times New Roman" w:hAnsi="Times New Roman" w:cs="Times New Roman"/>
          <w:b/>
          <w:bCs/>
          <w:color w:val="auto"/>
          <w:highlight w:val="none"/>
        </w:rPr>
      </w:pPr>
      <w:bookmarkStart w:id="299" w:name="_Toc39070992"/>
      <w:r>
        <w:rPr>
          <w:rFonts w:hint="default" w:ascii="Times New Roman" w:hAnsi="Times New Roman" w:cs="Times New Roman"/>
          <w:b/>
          <w:bCs/>
          <w:color w:val="auto"/>
          <w:highlight w:val="none"/>
          <w:lang w:val="en-US" w:eastAsia="zh-CN"/>
        </w:rPr>
        <w:t>三、</w:t>
      </w:r>
      <w:r>
        <w:rPr>
          <w:rFonts w:hint="default" w:ascii="Times New Roman" w:hAnsi="Times New Roman" w:cs="Times New Roman"/>
          <w:b/>
          <w:bCs/>
          <w:color w:val="auto"/>
          <w:highlight w:val="none"/>
        </w:rPr>
        <w:t>答复抱怨的内容和方式</w:t>
      </w:r>
      <w:bookmarkEnd w:id="299"/>
    </w:p>
    <w:p w14:paraId="7FA615E3">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答复的内容</w:t>
      </w:r>
    </w:p>
    <w:p w14:paraId="54B8EA3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（1）抱怨者的不满简述。</w:t>
      </w:r>
    </w:p>
    <w:p w14:paraId="7EB53E3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（2）调查事实结果。</w:t>
      </w:r>
    </w:p>
    <w:p w14:paraId="0CF41FE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（3）国家有关规定。</w:t>
      </w:r>
    </w:p>
    <w:p w14:paraId="7E9EBE5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（4）处理意见及具体依据。</w:t>
      </w:r>
    </w:p>
    <w:p w14:paraId="5C515710">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（5）抱怨者有向上一级政府部门申诉和向民事法庭起诉的权利，其诉讼费由项目单位支付。</w:t>
      </w:r>
    </w:p>
    <w:p w14:paraId="6B832AB8">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答复抱怨的方式</w:t>
      </w:r>
    </w:p>
    <w:p w14:paraId="5E3DE4F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（1）对个别现象的抱怨问题，答复采取书面材料直接送抱怨者的方式。</w:t>
      </w:r>
    </w:p>
    <w:p w14:paraId="5E1F403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（2）对反映较多的抱怨问题，通过开社区（村）居民大会或发文件的形式通知其所在社区。</w:t>
      </w:r>
    </w:p>
    <w:p w14:paraId="0C93C5C2">
      <w:pPr>
        <w:bidi w:val="0"/>
        <w:rPr>
          <w:rFonts w:hint="default" w:ascii="Times New Roman" w:hAnsi="Times New Roman" w:cs="Times New Roman"/>
          <w:b/>
          <w:bCs/>
          <w:color w:val="auto"/>
          <w:highlight w:val="none"/>
        </w:rPr>
      </w:pPr>
      <w:bookmarkStart w:id="300" w:name="_Toc39070993"/>
      <w:r>
        <w:rPr>
          <w:rFonts w:hint="default" w:ascii="Times New Roman" w:hAnsi="Times New Roman" w:cs="Times New Roman"/>
          <w:b/>
          <w:bCs/>
          <w:color w:val="auto"/>
          <w:highlight w:val="none"/>
          <w:lang w:val="en-US" w:eastAsia="zh-CN"/>
        </w:rPr>
        <w:t>四、</w:t>
      </w:r>
      <w:r>
        <w:rPr>
          <w:rFonts w:hint="default" w:ascii="Times New Roman" w:hAnsi="Times New Roman" w:cs="Times New Roman"/>
          <w:b/>
          <w:bCs/>
          <w:color w:val="auto"/>
          <w:highlight w:val="none"/>
        </w:rPr>
        <w:t>抱怨与申诉的记录和跟踪反馈</w:t>
      </w:r>
      <w:bookmarkEnd w:id="300"/>
    </w:p>
    <w:p w14:paraId="6B7C0D8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在生产线关闭和拆除的期间，承包商要做好抱怨资料和处理结果资料的登记与管理，定期以书面材料形式报告项目管理方。项目管理方将对抱怨处理登记情况进行定期检查，</w:t>
      </w:r>
      <w:bookmarkStart w:id="301" w:name="_Hlk38282024"/>
      <w:r>
        <w:rPr>
          <w:rFonts w:hint="default" w:ascii="Times New Roman" w:hAnsi="Times New Roman" w:cs="Times New Roman"/>
          <w:color w:val="auto"/>
          <w:highlight w:val="none"/>
          <w:lang w:val="en-US" w:eastAsia="zh-CN"/>
        </w:rPr>
        <w:t>受影响人口抱怨和申诉处理情况登记表</w:t>
      </w:r>
      <w:bookmarkEnd w:id="301"/>
      <w:r>
        <w:rPr>
          <w:rFonts w:hint="default" w:ascii="Times New Roman" w:hAnsi="Times New Roman" w:cs="Times New Roman"/>
          <w:color w:val="auto"/>
          <w:highlight w:val="none"/>
          <w:lang w:val="en-US" w:eastAsia="zh-CN"/>
        </w:rPr>
        <w:t>如下。</w:t>
      </w:r>
    </w:p>
    <w:p w14:paraId="0875CFE0">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承包商在接到投诉后2小时内上报项目管理方，并在5个工作日之内向申诉人反馈解决方案和落实计划。项目管理方定期对申诉情况的解决方案落实情况进行检查。</w:t>
      </w:r>
    </w:p>
    <w:p w14:paraId="77F421EA">
      <w:pPr>
        <w:bidi w:val="0"/>
        <w:rPr>
          <w:rFonts w:hint="default" w:ascii="Times New Roman" w:hAnsi="Times New Roman" w:cs="Times New Roman"/>
          <w:color w:val="auto"/>
          <w:highlight w:val="none"/>
          <w:lang w:val="en-US" w:eastAsia="zh-CN"/>
        </w:rPr>
      </w:pPr>
    </w:p>
    <w:p w14:paraId="6AE47853">
      <w:pPr>
        <w:bidi w:val="0"/>
        <w:rPr>
          <w:rFonts w:hint="default" w:ascii="Times New Roman" w:hAnsi="Times New Roman" w:cs="Times New Roman"/>
          <w:color w:val="auto"/>
          <w:highlight w:val="none"/>
          <w:lang w:val="en-US" w:eastAsia="zh-CN"/>
        </w:rPr>
      </w:pPr>
    </w:p>
    <w:p w14:paraId="6770F691">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9.1</w:t>
      </w:r>
      <w:r>
        <w:rPr>
          <w:rFonts w:hint="default" w:ascii="Times New Roman" w:hAnsi="Times New Roman" w:cs="Times New Roman"/>
          <w:color w:val="auto"/>
          <w:highlight w:val="none"/>
        </w:rPr>
        <w:t>-1 受影响人口抱怨和申诉处理情况登记表</w:t>
      </w:r>
    </w:p>
    <w:tbl>
      <w:tblPr>
        <w:tblStyle w:val="3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369"/>
        <w:gridCol w:w="1410"/>
        <w:gridCol w:w="1369"/>
        <w:gridCol w:w="1369"/>
        <w:gridCol w:w="1573"/>
      </w:tblGrid>
      <w:tr w14:paraId="5D7B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tcPr>
          <w:p w14:paraId="51D254B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接受单位</w:t>
            </w:r>
          </w:p>
        </w:tc>
        <w:tc>
          <w:tcPr>
            <w:tcW w:w="1369" w:type="dxa"/>
          </w:tcPr>
          <w:p w14:paraId="5ADD654D">
            <w:pPr>
              <w:pStyle w:val="45"/>
              <w:bidi w:val="0"/>
              <w:rPr>
                <w:rFonts w:hint="default" w:ascii="Times New Roman" w:hAnsi="Times New Roman" w:cs="Times New Roman"/>
                <w:color w:val="auto"/>
                <w:highlight w:val="none"/>
              </w:rPr>
            </w:pPr>
          </w:p>
        </w:tc>
        <w:tc>
          <w:tcPr>
            <w:tcW w:w="1410" w:type="dxa"/>
          </w:tcPr>
          <w:p w14:paraId="3B2C906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时间</w:t>
            </w:r>
          </w:p>
        </w:tc>
        <w:tc>
          <w:tcPr>
            <w:tcW w:w="1369" w:type="dxa"/>
          </w:tcPr>
          <w:p w14:paraId="41A9537D">
            <w:pPr>
              <w:pStyle w:val="45"/>
              <w:bidi w:val="0"/>
              <w:rPr>
                <w:rFonts w:hint="default" w:ascii="Times New Roman" w:hAnsi="Times New Roman" w:cs="Times New Roman"/>
                <w:color w:val="auto"/>
                <w:highlight w:val="none"/>
              </w:rPr>
            </w:pPr>
          </w:p>
        </w:tc>
        <w:tc>
          <w:tcPr>
            <w:tcW w:w="1369" w:type="dxa"/>
          </w:tcPr>
          <w:p w14:paraId="1C3EE7B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地点</w:t>
            </w:r>
          </w:p>
        </w:tc>
        <w:tc>
          <w:tcPr>
            <w:tcW w:w="1573" w:type="dxa"/>
          </w:tcPr>
          <w:p w14:paraId="38E562DE">
            <w:pPr>
              <w:pStyle w:val="45"/>
              <w:bidi w:val="0"/>
              <w:rPr>
                <w:rFonts w:hint="default" w:ascii="Times New Roman" w:hAnsi="Times New Roman" w:cs="Times New Roman"/>
                <w:color w:val="auto"/>
                <w:highlight w:val="none"/>
              </w:rPr>
            </w:pPr>
          </w:p>
        </w:tc>
      </w:tr>
      <w:tr w14:paraId="35A2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vAlign w:val="center"/>
          </w:tcPr>
          <w:p w14:paraId="3B388F1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申诉人姓名</w:t>
            </w:r>
          </w:p>
        </w:tc>
        <w:tc>
          <w:tcPr>
            <w:tcW w:w="1369" w:type="dxa"/>
            <w:vAlign w:val="center"/>
          </w:tcPr>
          <w:p w14:paraId="25D1EF0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申诉内容</w:t>
            </w:r>
          </w:p>
        </w:tc>
        <w:tc>
          <w:tcPr>
            <w:tcW w:w="2779" w:type="dxa"/>
            <w:gridSpan w:val="2"/>
            <w:vAlign w:val="center"/>
          </w:tcPr>
          <w:p w14:paraId="50377E7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要求解决方式</w:t>
            </w:r>
          </w:p>
        </w:tc>
        <w:tc>
          <w:tcPr>
            <w:tcW w:w="1369" w:type="dxa"/>
            <w:vAlign w:val="center"/>
          </w:tcPr>
          <w:p w14:paraId="115193E2">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拟解决方案</w:t>
            </w:r>
          </w:p>
        </w:tc>
        <w:tc>
          <w:tcPr>
            <w:tcW w:w="1573" w:type="dxa"/>
            <w:vAlign w:val="center"/>
          </w:tcPr>
          <w:p w14:paraId="6A421290">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实际办理情况</w:t>
            </w:r>
          </w:p>
        </w:tc>
      </w:tr>
      <w:tr w14:paraId="2377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2" w:hRule="atLeast"/>
        </w:trPr>
        <w:tc>
          <w:tcPr>
            <w:tcW w:w="1410" w:type="dxa"/>
          </w:tcPr>
          <w:p w14:paraId="591665B4">
            <w:pPr>
              <w:pStyle w:val="45"/>
              <w:bidi w:val="0"/>
              <w:rPr>
                <w:rFonts w:hint="default" w:ascii="Times New Roman" w:hAnsi="Times New Roman" w:cs="Times New Roman"/>
                <w:color w:val="auto"/>
                <w:highlight w:val="none"/>
              </w:rPr>
            </w:pPr>
          </w:p>
        </w:tc>
        <w:tc>
          <w:tcPr>
            <w:tcW w:w="1369" w:type="dxa"/>
          </w:tcPr>
          <w:p w14:paraId="2C1C1E2E">
            <w:pPr>
              <w:pStyle w:val="45"/>
              <w:bidi w:val="0"/>
              <w:rPr>
                <w:rFonts w:hint="default" w:ascii="Times New Roman" w:hAnsi="Times New Roman" w:cs="Times New Roman"/>
                <w:color w:val="auto"/>
                <w:highlight w:val="none"/>
              </w:rPr>
            </w:pPr>
          </w:p>
        </w:tc>
        <w:tc>
          <w:tcPr>
            <w:tcW w:w="1410" w:type="dxa"/>
          </w:tcPr>
          <w:p w14:paraId="3475E430">
            <w:pPr>
              <w:pStyle w:val="45"/>
              <w:bidi w:val="0"/>
              <w:rPr>
                <w:rFonts w:hint="default" w:ascii="Times New Roman" w:hAnsi="Times New Roman" w:cs="Times New Roman"/>
                <w:color w:val="auto"/>
                <w:highlight w:val="none"/>
              </w:rPr>
            </w:pPr>
          </w:p>
        </w:tc>
        <w:tc>
          <w:tcPr>
            <w:tcW w:w="1369" w:type="dxa"/>
          </w:tcPr>
          <w:p w14:paraId="41831DAF">
            <w:pPr>
              <w:pStyle w:val="45"/>
              <w:bidi w:val="0"/>
              <w:rPr>
                <w:rFonts w:hint="default" w:ascii="Times New Roman" w:hAnsi="Times New Roman" w:cs="Times New Roman"/>
                <w:color w:val="auto"/>
                <w:highlight w:val="none"/>
              </w:rPr>
            </w:pPr>
          </w:p>
        </w:tc>
        <w:tc>
          <w:tcPr>
            <w:tcW w:w="1369" w:type="dxa"/>
          </w:tcPr>
          <w:p w14:paraId="0DE02B06">
            <w:pPr>
              <w:pStyle w:val="45"/>
              <w:bidi w:val="0"/>
              <w:rPr>
                <w:rFonts w:hint="default" w:ascii="Times New Roman" w:hAnsi="Times New Roman" w:cs="Times New Roman"/>
                <w:color w:val="auto"/>
                <w:highlight w:val="none"/>
              </w:rPr>
            </w:pPr>
          </w:p>
        </w:tc>
        <w:tc>
          <w:tcPr>
            <w:tcW w:w="1573" w:type="dxa"/>
          </w:tcPr>
          <w:p w14:paraId="23D140C1">
            <w:pPr>
              <w:pStyle w:val="45"/>
              <w:bidi w:val="0"/>
              <w:rPr>
                <w:rFonts w:hint="default" w:ascii="Times New Roman" w:hAnsi="Times New Roman" w:cs="Times New Roman"/>
                <w:color w:val="auto"/>
                <w:highlight w:val="none"/>
              </w:rPr>
            </w:pPr>
          </w:p>
        </w:tc>
      </w:tr>
      <w:tr w14:paraId="0E34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tcPr>
          <w:p w14:paraId="0680DCC1">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申诉人</w:t>
            </w:r>
          </w:p>
        </w:tc>
        <w:tc>
          <w:tcPr>
            <w:tcW w:w="4148" w:type="dxa"/>
            <w:gridSpan w:val="3"/>
          </w:tcPr>
          <w:p w14:paraId="3A02B5E4">
            <w:pPr>
              <w:pStyle w:val="45"/>
              <w:bidi w:val="0"/>
              <w:rPr>
                <w:rFonts w:hint="default" w:ascii="Times New Roman" w:hAnsi="Times New Roman" w:cs="Times New Roman"/>
                <w:color w:val="auto"/>
                <w:highlight w:val="none"/>
              </w:rPr>
            </w:pPr>
          </w:p>
        </w:tc>
        <w:tc>
          <w:tcPr>
            <w:tcW w:w="1369" w:type="dxa"/>
          </w:tcPr>
          <w:p w14:paraId="174AF6E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记录人</w:t>
            </w:r>
          </w:p>
        </w:tc>
        <w:tc>
          <w:tcPr>
            <w:tcW w:w="1573" w:type="dxa"/>
          </w:tcPr>
          <w:p w14:paraId="7840BD6C">
            <w:pPr>
              <w:pStyle w:val="45"/>
              <w:bidi w:val="0"/>
              <w:rPr>
                <w:rFonts w:hint="default" w:ascii="Times New Roman" w:hAnsi="Times New Roman" w:cs="Times New Roman"/>
                <w:color w:val="auto"/>
                <w:highlight w:val="none"/>
              </w:rPr>
            </w:pPr>
          </w:p>
        </w:tc>
      </w:tr>
    </w:tbl>
    <w:p w14:paraId="26B6904D">
      <w:pPr>
        <w:bidi w:val="0"/>
        <w:rPr>
          <w:rFonts w:hint="default" w:ascii="Times New Roman" w:hAnsi="Times New Roman" w:cs="Times New Roman"/>
          <w:b/>
          <w:bCs/>
          <w:color w:val="auto"/>
          <w:highlight w:val="none"/>
        </w:rPr>
      </w:pPr>
      <w:bookmarkStart w:id="302" w:name="_Toc39070994"/>
      <w:r>
        <w:rPr>
          <w:rFonts w:hint="default" w:ascii="Times New Roman" w:hAnsi="Times New Roman" w:cs="Times New Roman"/>
          <w:b/>
          <w:bCs/>
          <w:color w:val="auto"/>
          <w:highlight w:val="none"/>
          <w:lang w:val="en-US" w:eastAsia="zh-CN"/>
        </w:rPr>
        <w:t>五、</w:t>
      </w:r>
      <w:r>
        <w:rPr>
          <w:rFonts w:hint="default" w:ascii="Times New Roman" w:hAnsi="Times New Roman" w:cs="Times New Roman"/>
          <w:b/>
          <w:bCs/>
          <w:color w:val="auto"/>
          <w:highlight w:val="none"/>
        </w:rPr>
        <w:t>抱怨与申诉的联系方式</w:t>
      </w:r>
      <w:bookmarkEnd w:id="302"/>
    </w:p>
    <w:p w14:paraId="07026D1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项目管理方安排专人负责搜集和接待受影响人口的不满和申诉，其联系方式如下：</w:t>
      </w:r>
    </w:p>
    <w:p w14:paraId="4A525B8F">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 9.1</w:t>
      </w:r>
      <w:r>
        <w:rPr>
          <w:rFonts w:hint="default" w:ascii="Times New Roman" w:hAnsi="Times New Roman" w:cs="Times New Roman"/>
          <w:color w:val="auto"/>
          <w:highlight w:val="none"/>
        </w:rPr>
        <w:t>-2 接待受影响人口抱怨和申诉机构和人员信息</w:t>
      </w:r>
    </w:p>
    <w:tbl>
      <w:tblPr>
        <w:tblStyle w:val="30"/>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35"/>
        <w:gridCol w:w="1537"/>
        <w:gridCol w:w="2900"/>
        <w:gridCol w:w="1844"/>
      </w:tblGrid>
      <w:tr w14:paraId="3536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135" w:type="dxa"/>
            <w:shd w:val="clear" w:color="auto" w:fill="auto"/>
            <w:vAlign w:val="center"/>
          </w:tcPr>
          <w:p w14:paraId="1F9B9E5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机构</w:t>
            </w:r>
          </w:p>
        </w:tc>
        <w:tc>
          <w:tcPr>
            <w:tcW w:w="1537" w:type="dxa"/>
            <w:shd w:val="clear" w:color="auto" w:fill="auto"/>
            <w:vAlign w:val="center"/>
          </w:tcPr>
          <w:p w14:paraId="303F630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联系人</w:t>
            </w:r>
          </w:p>
        </w:tc>
        <w:tc>
          <w:tcPr>
            <w:tcW w:w="2900" w:type="dxa"/>
            <w:shd w:val="clear" w:color="auto" w:fill="auto"/>
            <w:vAlign w:val="center"/>
          </w:tcPr>
          <w:p w14:paraId="5C19464F">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地址</w:t>
            </w:r>
          </w:p>
        </w:tc>
        <w:tc>
          <w:tcPr>
            <w:tcW w:w="1844" w:type="dxa"/>
            <w:shd w:val="clear" w:color="auto" w:fill="auto"/>
            <w:vAlign w:val="center"/>
          </w:tcPr>
          <w:p w14:paraId="60417D4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联系电话</w:t>
            </w:r>
          </w:p>
        </w:tc>
      </w:tr>
      <w:tr w14:paraId="0F3A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5" w:type="dxa"/>
            <w:shd w:val="clear" w:color="auto" w:fill="auto"/>
            <w:vAlign w:val="center"/>
          </w:tcPr>
          <w:p w14:paraId="53FF21E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项目管理办公室</w:t>
            </w:r>
          </w:p>
        </w:tc>
        <w:tc>
          <w:tcPr>
            <w:tcW w:w="1537" w:type="dxa"/>
            <w:shd w:val="clear" w:color="auto" w:fill="auto"/>
            <w:vAlign w:val="center"/>
          </w:tcPr>
          <w:p w14:paraId="2A636E6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宗伟光</w:t>
            </w:r>
          </w:p>
        </w:tc>
        <w:tc>
          <w:tcPr>
            <w:tcW w:w="2900" w:type="dxa"/>
            <w:shd w:val="clear" w:color="auto" w:fill="auto"/>
            <w:vAlign w:val="center"/>
          </w:tcPr>
          <w:p w14:paraId="75EC005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昌虞路2号</w:t>
            </w:r>
          </w:p>
        </w:tc>
        <w:tc>
          <w:tcPr>
            <w:tcW w:w="1844" w:type="dxa"/>
            <w:shd w:val="clear" w:color="auto" w:fill="auto"/>
            <w:vAlign w:val="center"/>
          </w:tcPr>
          <w:p w14:paraId="18F3089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18915620733</w:t>
            </w:r>
          </w:p>
        </w:tc>
      </w:tr>
      <w:tr w14:paraId="5DCB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135" w:type="dxa"/>
            <w:shd w:val="clear" w:color="auto" w:fill="auto"/>
            <w:vAlign w:val="center"/>
          </w:tcPr>
          <w:p w14:paraId="1E0F3EC5">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江苏常熟新材料产业园管委会</w:t>
            </w:r>
          </w:p>
        </w:tc>
        <w:tc>
          <w:tcPr>
            <w:tcW w:w="1537" w:type="dxa"/>
            <w:shd w:val="clear" w:color="auto" w:fill="auto"/>
            <w:vAlign w:val="center"/>
          </w:tcPr>
          <w:p w14:paraId="4AFADBD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陆锦宇</w:t>
            </w:r>
          </w:p>
        </w:tc>
        <w:tc>
          <w:tcPr>
            <w:tcW w:w="2900" w:type="dxa"/>
            <w:shd w:val="clear" w:color="auto" w:fill="auto"/>
            <w:vAlign w:val="center"/>
          </w:tcPr>
          <w:p w14:paraId="784F793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盛虞大道1号</w:t>
            </w:r>
          </w:p>
        </w:tc>
        <w:tc>
          <w:tcPr>
            <w:tcW w:w="1844" w:type="dxa"/>
            <w:shd w:val="clear" w:color="auto" w:fill="auto"/>
            <w:vAlign w:val="center"/>
          </w:tcPr>
          <w:p w14:paraId="3167A98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52620365</w:t>
            </w:r>
          </w:p>
        </w:tc>
      </w:tr>
    </w:tbl>
    <w:p w14:paraId="698F8845">
      <w:pPr>
        <w:ind w:left="0" w:leftChars="0" w:firstLine="0" w:firstLineChars="0"/>
        <w:rPr>
          <w:rFonts w:hint="default" w:ascii="Times New Roman" w:hAnsi="Times New Roman" w:cs="Times New Roman"/>
          <w:color w:val="auto"/>
          <w:highlight w:val="none"/>
        </w:rPr>
        <w:sectPr>
          <w:pgSz w:w="11906" w:h="16838"/>
          <w:pgMar w:top="1440" w:right="1800" w:bottom="1440" w:left="1800" w:header="794" w:footer="992" w:gutter="0"/>
          <w:pgNumType w:fmt="decimal"/>
          <w:cols w:space="425" w:num="1"/>
          <w:docGrid w:type="lines" w:linePitch="312" w:charSpace="0"/>
        </w:sectPr>
      </w:pPr>
    </w:p>
    <w:p w14:paraId="57191B2D">
      <w:pPr>
        <w:pStyle w:val="2"/>
        <w:bidi w:val="0"/>
        <w:rPr>
          <w:rFonts w:hint="default" w:ascii="Times New Roman" w:hAnsi="Times New Roman" w:cs="Times New Roman"/>
          <w:color w:val="auto"/>
          <w:highlight w:val="none"/>
        </w:rPr>
      </w:pPr>
      <w:bookmarkStart w:id="303" w:name="_Toc406099598"/>
      <w:bookmarkStart w:id="304" w:name="_Toc406099874"/>
      <w:bookmarkStart w:id="305" w:name="_Toc406099750"/>
      <w:bookmarkStart w:id="306" w:name="_Toc19358"/>
      <w:r>
        <w:rPr>
          <w:rFonts w:hint="default" w:ascii="Times New Roman" w:hAnsi="Times New Roman" w:cs="Times New Roman"/>
          <w:color w:val="auto"/>
          <w:highlight w:val="none"/>
          <w:lang w:val="en-US" w:eastAsia="zh-CN"/>
        </w:rPr>
        <w:t xml:space="preserve">10 </w:t>
      </w:r>
      <w:r>
        <w:rPr>
          <w:rFonts w:hint="default" w:ascii="Times New Roman" w:hAnsi="Times New Roman" w:cs="Times New Roman"/>
          <w:color w:val="auto"/>
          <w:highlight w:val="none"/>
        </w:rPr>
        <w:t>环境管理预算及进度安排</w:t>
      </w:r>
      <w:bookmarkEnd w:id="303"/>
      <w:bookmarkEnd w:id="304"/>
      <w:bookmarkEnd w:id="305"/>
      <w:bookmarkEnd w:id="306"/>
    </w:p>
    <w:p w14:paraId="295A2A15">
      <w:pPr>
        <w:pStyle w:val="3"/>
        <w:bidi w:val="0"/>
        <w:rPr>
          <w:rFonts w:hint="default" w:ascii="Times New Roman" w:hAnsi="Times New Roman" w:cs="Times New Roman"/>
          <w:color w:val="auto"/>
          <w:highlight w:val="none"/>
        </w:rPr>
      </w:pPr>
      <w:bookmarkStart w:id="307" w:name="_Toc899"/>
      <w:r>
        <w:rPr>
          <w:rFonts w:hint="default" w:ascii="Times New Roman" w:hAnsi="Times New Roman" w:cs="Times New Roman"/>
          <w:color w:val="auto"/>
          <w:highlight w:val="none"/>
          <w:lang w:val="en-US" w:eastAsia="zh-CN"/>
        </w:rPr>
        <w:t xml:space="preserve">10.1 </w:t>
      </w:r>
      <w:r>
        <w:rPr>
          <w:rFonts w:hint="default" w:ascii="Times New Roman" w:hAnsi="Times New Roman" w:cs="Times New Roman"/>
          <w:color w:val="auto"/>
          <w:highlight w:val="none"/>
        </w:rPr>
        <w:t>环境管理预算</w:t>
      </w:r>
      <w:bookmarkEnd w:id="307"/>
    </w:p>
    <w:p w14:paraId="7F4E40F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本环境管理计划应在HCFC-141b生产线拆除工作进行前，由</w:t>
      </w: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作出环境管理的预算，并将预算文件抄送附件于承包商。项目预算具体金额应根据实际拆除量及物料转移情况而定，主要应包括：</w:t>
      </w:r>
    </w:p>
    <w:p w14:paraId="202B4CFD">
      <w:pPr>
        <w:keepNext w:val="0"/>
        <w:keepLines w:val="0"/>
        <w:pageBreakBefore w:val="0"/>
        <w:widowControl w:val="0"/>
        <w:numPr>
          <w:ilvl w:val="0"/>
          <w:numId w:val="3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三废处理费用；</w:t>
      </w:r>
    </w:p>
    <w:p w14:paraId="2E9D2074">
      <w:pPr>
        <w:keepNext w:val="0"/>
        <w:keepLines w:val="0"/>
        <w:pageBreakBefore w:val="0"/>
        <w:widowControl w:val="0"/>
        <w:numPr>
          <w:ilvl w:val="0"/>
          <w:numId w:val="3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环境监测</w:t>
      </w:r>
      <w:r>
        <w:rPr>
          <w:rFonts w:hint="default" w:ascii="Times New Roman" w:hAnsi="Times New Roman" w:cs="Times New Roman"/>
          <w:color w:val="auto"/>
          <w:highlight w:val="none"/>
        </w:rPr>
        <w:t>费用；</w:t>
      </w:r>
    </w:p>
    <w:p w14:paraId="1F54D249">
      <w:pPr>
        <w:keepNext w:val="0"/>
        <w:keepLines w:val="0"/>
        <w:pageBreakBefore w:val="0"/>
        <w:widowControl w:val="0"/>
        <w:numPr>
          <w:ilvl w:val="0"/>
          <w:numId w:val="3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环境调查</w:t>
      </w:r>
      <w:r>
        <w:rPr>
          <w:rFonts w:hint="default" w:ascii="Times New Roman" w:hAnsi="Times New Roman" w:cs="Times New Roman"/>
          <w:color w:val="auto"/>
          <w:highlight w:val="none"/>
        </w:rPr>
        <w:t>费用；</w:t>
      </w:r>
    </w:p>
    <w:p w14:paraId="2F05EE4C">
      <w:pPr>
        <w:keepNext w:val="0"/>
        <w:keepLines w:val="0"/>
        <w:pageBreakBefore w:val="0"/>
        <w:widowControl w:val="0"/>
        <w:numPr>
          <w:ilvl w:val="0"/>
          <w:numId w:val="39"/>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EMP编制</w:t>
      </w:r>
      <w:r>
        <w:rPr>
          <w:rFonts w:hint="default" w:ascii="Times New Roman" w:hAnsi="Times New Roman" w:cs="Times New Roman"/>
          <w:color w:val="auto"/>
          <w:highlight w:val="none"/>
        </w:rPr>
        <w:t>费用</w:t>
      </w:r>
      <w:r>
        <w:rPr>
          <w:rFonts w:hint="default" w:ascii="Times New Roman" w:hAnsi="Times New Roman" w:cs="Times New Roman"/>
          <w:color w:val="auto"/>
          <w:highlight w:val="none"/>
          <w:lang w:eastAsia="zh-CN"/>
        </w:rPr>
        <w:t>。</w:t>
      </w:r>
    </w:p>
    <w:p w14:paraId="26765951">
      <w:pPr>
        <w:pStyle w:val="46"/>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表 10.1-1 </w:t>
      </w:r>
      <w:r>
        <w:rPr>
          <w:rFonts w:hint="default" w:ascii="Times New Roman" w:hAnsi="Times New Roman" w:cs="Times New Roman"/>
          <w:color w:val="auto"/>
          <w:highlight w:val="none"/>
        </w:rPr>
        <w:t>环境管理预算</w:t>
      </w:r>
    </w:p>
    <w:tbl>
      <w:tblPr>
        <w:tblStyle w:val="30"/>
        <w:tblW w:w="52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6"/>
        <w:gridCol w:w="3619"/>
        <w:gridCol w:w="3484"/>
      </w:tblGrid>
      <w:tr w14:paraId="6C92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trPr>
        <w:tc>
          <w:tcPr>
            <w:tcW w:w="1045" w:type="pct"/>
            <w:shd w:val="clear" w:color="auto" w:fill="auto"/>
            <w:vAlign w:val="center"/>
          </w:tcPr>
          <w:p w14:paraId="6F450402">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序号</w:t>
            </w:r>
          </w:p>
        </w:tc>
        <w:tc>
          <w:tcPr>
            <w:tcW w:w="2015" w:type="pct"/>
            <w:shd w:val="clear" w:color="auto" w:fill="auto"/>
            <w:vAlign w:val="center"/>
          </w:tcPr>
          <w:p w14:paraId="2BCBC4BB">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费用类别</w:t>
            </w:r>
          </w:p>
        </w:tc>
        <w:tc>
          <w:tcPr>
            <w:tcW w:w="1940" w:type="pct"/>
            <w:shd w:val="clear" w:color="auto" w:fill="auto"/>
            <w:vAlign w:val="center"/>
          </w:tcPr>
          <w:p w14:paraId="0AFA2D04">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费用</w:t>
            </w:r>
          </w:p>
        </w:tc>
      </w:tr>
      <w:tr w14:paraId="071D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45" w:type="pct"/>
            <w:shd w:val="clear" w:color="auto" w:fill="auto"/>
            <w:vAlign w:val="center"/>
          </w:tcPr>
          <w:p w14:paraId="1236F19A">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1</w:t>
            </w:r>
          </w:p>
        </w:tc>
        <w:tc>
          <w:tcPr>
            <w:tcW w:w="2015" w:type="pct"/>
            <w:shd w:val="clear" w:color="auto" w:fill="auto"/>
            <w:vAlign w:val="center"/>
          </w:tcPr>
          <w:p w14:paraId="6CA2E936">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废物处置</w:t>
            </w:r>
          </w:p>
        </w:tc>
        <w:tc>
          <w:tcPr>
            <w:tcW w:w="1940" w:type="pct"/>
            <w:shd w:val="clear" w:color="auto" w:fill="auto"/>
            <w:vAlign w:val="center"/>
          </w:tcPr>
          <w:p w14:paraId="328929D3">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rPr>
            </w:pPr>
            <w:r>
              <w:rPr>
                <w:rFonts w:hint="eastAsia" w:ascii="Times New Roman" w:hAnsi="Times New Roman" w:cs="Times New Roman"/>
                <w:b w:val="0"/>
                <w:bCs/>
                <w:color w:val="auto"/>
                <w:highlight w:val="none"/>
                <w:lang w:val="en-US" w:eastAsia="zh-CN"/>
              </w:rPr>
              <w:t>85</w:t>
            </w:r>
            <w:r>
              <w:rPr>
                <w:rFonts w:hint="default" w:ascii="Times New Roman" w:hAnsi="Times New Roman" w:cs="Times New Roman"/>
                <w:b w:val="0"/>
                <w:bCs/>
                <w:color w:val="auto"/>
                <w:highlight w:val="none"/>
              </w:rPr>
              <w:t>万元</w:t>
            </w:r>
          </w:p>
        </w:tc>
      </w:tr>
      <w:tr w14:paraId="1C4F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45" w:type="pct"/>
            <w:shd w:val="clear" w:color="auto" w:fill="auto"/>
            <w:vAlign w:val="center"/>
          </w:tcPr>
          <w:p w14:paraId="2E80CE8C">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2</w:t>
            </w:r>
          </w:p>
        </w:tc>
        <w:tc>
          <w:tcPr>
            <w:tcW w:w="2015" w:type="pct"/>
            <w:shd w:val="clear" w:color="auto" w:fill="auto"/>
            <w:vAlign w:val="center"/>
          </w:tcPr>
          <w:p w14:paraId="15C754D9">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EMP编制</w:t>
            </w:r>
          </w:p>
        </w:tc>
        <w:tc>
          <w:tcPr>
            <w:tcW w:w="1940" w:type="pct"/>
            <w:shd w:val="clear" w:color="auto" w:fill="auto"/>
            <w:vAlign w:val="center"/>
          </w:tcPr>
          <w:p w14:paraId="685DF188">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25</w:t>
            </w:r>
            <w:r>
              <w:rPr>
                <w:rFonts w:hint="default" w:ascii="Times New Roman" w:hAnsi="Times New Roman" w:cs="Times New Roman"/>
                <w:b w:val="0"/>
                <w:bCs/>
                <w:color w:val="auto"/>
                <w:highlight w:val="none"/>
                <w:lang w:eastAsia="zh-CN"/>
              </w:rPr>
              <w:t>万元</w:t>
            </w:r>
          </w:p>
        </w:tc>
      </w:tr>
      <w:tr w14:paraId="0A4E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45" w:type="pct"/>
            <w:shd w:val="clear" w:color="auto" w:fill="auto"/>
            <w:vAlign w:val="center"/>
          </w:tcPr>
          <w:p w14:paraId="69CA1BA9">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3</w:t>
            </w:r>
          </w:p>
        </w:tc>
        <w:tc>
          <w:tcPr>
            <w:tcW w:w="2015" w:type="pct"/>
            <w:shd w:val="clear" w:color="auto" w:fill="auto"/>
            <w:vAlign w:val="center"/>
          </w:tcPr>
          <w:p w14:paraId="16201482">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环境调查</w:t>
            </w:r>
          </w:p>
        </w:tc>
        <w:tc>
          <w:tcPr>
            <w:tcW w:w="1940" w:type="pct"/>
            <w:shd w:val="clear" w:color="auto" w:fill="auto"/>
            <w:vAlign w:val="center"/>
          </w:tcPr>
          <w:p w14:paraId="5B45CE67">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rPr>
            </w:pPr>
            <w:r>
              <w:rPr>
                <w:rFonts w:hint="eastAsia" w:ascii="Times New Roman" w:hAnsi="Times New Roman" w:cs="Times New Roman"/>
                <w:b w:val="0"/>
                <w:bCs/>
                <w:color w:val="auto"/>
                <w:highlight w:val="none"/>
                <w:lang w:val="en-US" w:eastAsia="zh-CN"/>
              </w:rPr>
              <w:t>35</w:t>
            </w:r>
            <w:r>
              <w:rPr>
                <w:rFonts w:hint="default" w:ascii="Times New Roman" w:hAnsi="Times New Roman" w:cs="Times New Roman"/>
                <w:b w:val="0"/>
                <w:bCs/>
                <w:color w:val="auto"/>
                <w:highlight w:val="none"/>
              </w:rPr>
              <w:t>万元</w:t>
            </w:r>
          </w:p>
        </w:tc>
      </w:tr>
      <w:tr w14:paraId="1A0E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45" w:type="pct"/>
            <w:shd w:val="clear" w:color="auto" w:fill="auto"/>
            <w:vAlign w:val="center"/>
          </w:tcPr>
          <w:p w14:paraId="4880AFEF">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4</w:t>
            </w:r>
          </w:p>
        </w:tc>
        <w:tc>
          <w:tcPr>
            <w:tcW w:w="2015" w:type="pct"/>
            <w:shd w:val="clear" w:color="auto" w:fill="auto"/>
            <w:vAlign w:val="center"/>
          </w:tcPr>
          <w:p w14:paraId="5FFCAD5B">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环境监测</w:t>
            </w:r>
          </w:p>
        </w:tc>
        <w:tc>
          <w:tcPr>
            <w:tcW w:w="1940" w:type="pct"/>
            <w:shd w:val="clear" w:color="auto" w:fill="auto"/>
            <w:vAlign w:val="center"/>
          </w:tcPr>
          <w:p w14:paraId="46C3BE29">
            <w:pPr>
              <w:pStyle w:val="40"/>
              <w:keepNext w:val="0"/>
              <w:keepLines w:val="0"/>
              <w:pageBreakBefore w:val="0"/>
              <w:widowControl/>
              <w:tabs>
                <w:tab w:val="left" w:pos="567"/>
              </w:tabs>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b w:val="0"/>
                <w:bCs/>
                <w:color w:val="auto"/>
                <w:highlight w:val="none"/>
              </w:rPr>
            </w:pPr>
            <w:r>
              <w:rPr>
                <w:rFonts w:hint="eastAsia" w:ascii="Times New Roman" w:hAnsi="Times New Roman" w:cs="Times New Roman"/>
                <w:b w:val="0"/>
                <w:bCs/>
                <w:color w:val="auto"/>
                <w:highlight w:val="none"/>
                <w:lang w:val="en-US" w:eastAsia="zh-CN"/>
              </w:rPr>
              <w:t>65</w:t>
            </w:r>
            <w:r>
              <w:rPr>
                <w:rFonts w:hint="default" w:ascii="Times New Roman" w:hAnsi="Times New Roman" w:cs="Times New Roman"/>
                <w:b w:val="0"/>
                <w:bCs/>
                <w:color w:val="auto"/>
                <w:highlight w:val="none"/>
              </w:rPr>
              <w:t>万元</w:t>
            </w:r>
          </w:p>
        </w:tc>
      </w:tr>
    </w:tbl>
    <w:p w14:paraId="32F33168">
      <w:pPr>
        <w:pStyle w:val="3"/>
        <w:bidi w:val="0"/>
        <w:outlineLvl w:val="1"/>
        <w:rPr>
          <w:rFonts w:hint="default" w:ascii="Times New Roman" w:hAnsi="Times New Roman" w:cs="Times New Roman"/>
          <w:color w:val="auto"/>
          <w:highlight w:val="none"/>
        </w:rPr>
      </w:pPr>
      <w:bookmarkStart w:id="308" w:name="_Toc32108"/>
      <w:r>
        <w:rPr>
          <w:rFonts w:hint="default" w:ascii="Times New Roman" w:hAnsi="Times New Roman" w:cs="Times New Roman"/>
          <w:color w:val="auto"/>
          <w:highlight w:val="none"/>
          <w:lang w:val="en-US" w:eastAsia="zh-CN"/>
        </w:rPr>
        <w:t xml:space="preserve">10.2 </w:t>
      </w:r>
      <w:r>
        <w:rPr>
          <w:rFonts w:hint="default" w:ascii="Times New Roman" w:hAnsi="Times New Roman" w:cs="Times New Roman"/>
          <w:color w:val="auto"/>
          <w:highlight w:val="none"/>
        </w:rPr>
        <w:t>进度安排</w:t>
      </w:r>
      <w:bookmarkEnd w:id="308"/>
    </w:p>
    <w:p w14:paraId="0374595B">
      <w:pP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常熟三爱富氟化工</w:t>
      </w:r>
      <w:r>
        <w:rPr>
          <w:rFonts w:hint="default" w:ascii="Times New Roman" w:hAnsi="Times New Roman" w:cs="Times New Roman"/>
          <w:color w:val="auto"/>
          <w:highlight w:val="none"/>
        </w:rPr>
        <w:t>HCFC-141b生产线关闭项目的进度安排如下：</w:t>
      </w:r>
    </w:p>
    <w:p w14:paraId="5DDE1FC4">
      <w:pPr>
        <w:keepNext w:val="0"/>
        <w:keepLines w:val="0"/>
        <w:pageBreakBefore w:val="0"/>
        <w:widowControl w:val="0"/>
        <w:numPr>
          <w:ilvl w:val="0"/>
          <w:numId w:val="4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bookmarkStart w:id="309" w:name="OLE_LINK6"/>
      <w:r>
        <w:rPr>
          <w:rFonts w:hint="default" w:ascii="Times New Roman" w:hAnsi="Times New Roman" w:cs="Times New Roman"/>
          <w:color w:val="auto"/>
          <w:szCs w:val="28"/>
          <w:highlight w:val="none"/>
        </w:rPr>
        <w:t>完成全部物料投料</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2024年10月22日</w:t>
      </w:r>
      <w:r>
        <w:rPr>
          <w:rFonts w:hint="default" w:ascii="Times New Roman" w:hAnsi="Times New Roman" w:cs="Times New Roman"/>
          <w:color w:val="auto"/>
          <w:highlight w:val="none"/>
        </w:rPr>
        <w:t>；</w:t>
      </w:r>
    </w:p>
    <w:bookmarkEnd w:id="309"/>
    <w:p w14:paraId="68761381">
      <w:pPr>
        <w:keepNext w:val="0"/>
        <w:keepLines w:val="0"/>
        <w:pageBreakBefore w:val="0"/>
        <w:widowControl w:val="0"/>
        <w:numPr>
          <w:ilvl w:val="0"/>
          <w:numId w:val="40"/>
        </w:numPr>
        <w:kinsoku/>
        <w:wordWrap/>
        <w:overflowPunct/>
        <w:topLinePunct w:val="0"/>
        <w:autoSpaceDE/>
        <w:autoSpaceDN/>
        <w:bidi w:val="0"/>
        <w:adjustRightInd/>
        <w:snapToGrid/>
        <w:ind w:left="0"/>
        <w:textAlignment w:val="auto"/>
        <w:rPr>
          <w:rFonts w:hint="default" w:ascii="Times New Roman" w:hAnsi="Times New Roman" w:cs="Times New Roman"/>
          <w:color w:val="auto"/>
          <w:szCs w:val="28"/>
          <w:highlight w:val="none"/>
        </w:rPr>
      </w:pPr>
      <w:r>
        <w:rPr>
          <w:rFonts w:hint="default" w:ascii="Times New Roman" w:hAnsi="Times New Roman" w:cs="Times New Roman"/>
          <w:color w:val="auto"/>
          <w:highlight w:val="none"/>
        </w:rPr>
        <w:t>停止生产时间：20</w:t>
      </w:r>
      <w:r>
        <w:rPr>
          <w:rFonts w:hint="default"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月；</w:t>
      </w:r>
    </w:p>
    <w:p w14:paraId="2EEF6168">
      <w:pPr>
        <w:keepNext w:val="0"/>
        <w:keepLines w:val="0"/>
        <w:pageBreakBefore w:val="0"/>
        <w:widowControl w:val="0"/>
        <w:numPr>
          <w:ilvl w:val="0"/>
          <w:numId w:val="4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完成设备拆除前清洗置换</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2024年12月25日；</w:t>
      </w:r>
    </w:p>
    <w:p w14:paraId="325DC690">
      <w:pPr>
        <w:keepNext w:val="0"/>
        <w:keepLines w:val="0"/>
        <w:pageBreakBefore w:val="0"/>
        <w:widowControl w:val="0"/>
        <w:numPr>
          <w:ilvl w:val="0"/>
          <w:numId w:val="4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拟启动拆除HCFC-141b生产线</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设施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工作时间：202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5</w:t>
      </w:r>
      <w:r>
        <w:rPr>
          <w:rFonts w:hint="default" w:ascii="Times New Roman" w:hAnsi="Times New Roman" w:cs="Times New Roman"/>
          <w:color w:val="auto"/>
          <w:highlight w:val="none"/>
        </w:rPr>
        <w:t>月；</w:t>
      </w:r>
    </w:p>
    <w:p w14:paraId="19735E81">
      <w:pPr>
        <w:keepNext w:val="0"/>
        <w:keepLines w:val="0"/>
        <w:pageBreakBefore w:val="0"/>
        <w:widowControl w:val="0"/>
        <w:numPr>
          <w:ilvl w:val="0"/>
          <w:numId w:val="40"/>
        </w:numPr>
        <w:kinsoku/>
        <w:wordWrap/>
        <w:overflowPunct/>
        <w:topLinePunct w:val="0"/>
        <w:autoSpaceDE/>
        <w:autoSpaceDN/>
        <w:bidi w:val="0"/>
        <w:adjustRightInd/>
        <w:snapToGrid/>
        <w:ind w:lef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拟完成全部拆除工作时间：202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9</w:t>
      </w:r>
      <w:r>
        <w:rPr>
          <w:rFonts w:hint="default" w:ascii="Times New Roman" w:hAnsi="Times New Roman" w:cs="Times New Roman"/>
          <w:color w:val="auto"/>
          <w:highlight w:val="none"/>
        </w:rPr>
        <w:t>月。</w:t>
      </w:r>
    </w:p>
    <w:sectPr>
      <w:pgSz w:w="11906" w:h="16838"/>
      <w:pgMar w:top="1440" w:right="1800" w:bottom="1440" w:left="1800" w:header="794"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auto"/>
    <w:pitch w:val="default"/>
    <w:sig w:usb0="00000000" w:usb1="00000000" w:usb2="00000009" w:usb3="00000000" w:csb0="200001FF" w:csb1="00000000"/>
  </w:font>
  <w:font w:name="ArialUnicodeMS">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5799">
    <w:pPr>
      <w:pStyle w:val="17"/>
      <w:ind w:firstLine="360"/>
      <w:jc w:val="center"/>
    </w:pPr>
  </w:p>
  <w:p w14:paraId="1E14E972">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54BB4">
    <w:pPr>
      <w:pStyle w:val="17"/>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497CB">
    <w:pPr>
      <w:pStyle w:val="17"/>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2F8A5">
    <w:pPr>
      <w:pStyle w:val="17"/>
      <w:tabs>
        <w:tab w:val="clear" w:pos="4153"/>
      </w:tabs>
      <w:ind w:firstLine="0" w:firstLineChars="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C17D3">
    <w:pPr>
      <w:pStyle w:val="17"/>
      <w:tabs>
        <w:tab w:val="clear" w:pos="4153"/>
      </w:tabs>
      <w:ind w:firstLine="0" w:firstLineChars="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E745E">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87E745E">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9541D">
    <w:pPr>
      <w:pStyle w:val="17"/>
      <w:ind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64251">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6464251">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1C78D">
    <w:pPr>
      <w:pStyle w:val="17"/>
      <w:ind w:firstLine="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71962">
                          <w:pPr>
                            <w:pStyle w:val="17"/>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7FA71962">
                    <w:pPr>
                      <w:pStyle w:val="17"/>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0A8A0">
    <w:pPr>
      <w:pStyle w:val="17"/>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A1AEE">
                          <w:pPr>
                            <w:pStyle w:val="17"/>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6AA1AEE">
                    <w:pPr>
                      <w:pStyle w:val="17"/>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D14EC">
    <w:pPr>
      <w:pStyle w:val="18"/>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C79A3">
    <w:pPr>
      <w:pStyle w:val="18"/>
      <w:keepNext w:val="0"/>
      <w:keepLines w:val="0"/>
      <w:pageBreakBefore w:val="0"/>
      <w:widowControl w:val="0"/>
      <w:kinsoku/>
      <w:wordWrap/>
      <w:overflowPunct/>
      <w:topLinePunct w:val="0"/>
      <w:bidi w:val="0"/>
      <w:adjustRightInd/>
      <w:snapToGrid/>
      <w:spacing w:line="240" w:lineRule="auto"/>
      <w:ind w:firstLine="0" w:firstLineChars="0"/>
      <w:textAlignment w:val="auto"/>
    </w:pPr>
    <w:r>
      <w:rPr>
        <w:rFonts w:hint="eastAsia"/>
        <w:lang w:eastAsia="zh-CN"/>
      </w:rPr>
      <w:t>常熟三爱富氟化工有限责任公司</w:t>
    </w:r>
    <w:r>
      <w:rPr>
        <w:rFonts w:hint="eastAsia"/>
      </w:rPr>
      <w:t>HCFC-</w:t>
    </w:r>
    <w:r>
      <w:t>141</w:t>
    </w:r>
    <w:r>
      <w:rPr>
        <w:rFonts w:hint="eastAsia"/>
      </w:rPr>
      <w:t>b/生产线关闭项目环境管理计划</w:t>
    </w:r>
  </w:p>
  <w:p w14:paraId="74E8A33A">
    <w:pPr>
      <w:pStyle w:val="18"/>
      <w:ind w:firstLine="0" w:firstLineChars="0"/>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3393A">
    <w:pPr>
      <w:pStyle w:val="18"/>
      <w:spacing w:line="240" w:lineRule="auto"/>
      <w:ind w:firstLine="0" w:firstLineChars="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CF2F">
    <w:pPr>
      <w:pStyle w:val="1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E11F0">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3EF91"/>
    <w:multiLevelType w:val="singleLevel"/>
    <w:tmpl w:val="8E53EF91"/>
    <w:lvl w:ilvl="0" w:tentative="0">
      <w:start w:val="1"/>
      <w:numFmt w:val="decimal"/>
      <w:lvlText w:val="%1."/>
      <w:lvlJc w:val="left"/>
      <w:pPr>
        <w:ind w:left="425" w:hanging="425"/>
      </w:pPr>
      <w:rPr>
        <w:rFonts w:hint="default"/>
      </w:rPr>
    </w:lvl>
  </w:abstractNum>
  <w:abstractNum w:abstractNumId="1">
    <w:nsid w:val="9A0AB5DE"/>
    <w:multiLevelType w:val="singleLevel"/>
    <w:tmpl w:val="9A0AB5DE"/>
    <w:lvl w:ilvl="0" w:tentative="0">
      <w:start w:val="1"/>
      <w:numFmt w:val="decimal"/>
      <w:lvlText w:val="%1."/>
      <w:lvlJc w:val="left"/>
      <w:pPr>
        <w:ind w:left="425" w:hanging="425"/>
      </w:pPr>
      <w:rPr>
        <w:rFonts w:hint="default"/>
      </w:rPr>
    </w:lvl>
  </w:abstractNum>
  <w:abstractNum w:abstractNumId="2">
    <w:nsid w:val="A1BABFA8"/>
    <w:multiLevelType w:val="singleLevel"/>
    <w:tmpl w:val="A1BABFA8"/>
    <w:lvl w:ilvl="0" w:tentative="0">
      <w:start w:val="2"/>
      <w:numFmt w:val="decimal"/>
      <w:suff w:val="nothing"/>
      <w:lvlText w:val="%1、"/>
      <w:lvlJc w:val="left"/>
    </w:lvl>
  </w:abstractNum>
  <w:abstractNum w:abstractNumId="3">
    <w:nsid w:val="A47CF207"/>
    <w:multiLevelType w:val="singleLevel"/>
    <w:tmpl w:val="A47CF207"/>
    <w:lvl w:ilvl="0" w:tentative="0">
      <w:start w:val="1"/>
      <w:numFmt w:val="decimal"/>
      <w:lvlText w:val="%1."/>
      <w:lvlJc w:val="left"/>
      <w:pPr>
        <w:ind w:left="425" w:hanging="425"/>
      </w:pPr>
      <w:rPr>
        <w:rFonts w:hint="default"/>
      </w:rPr>
    </w:lvl>
  </w:abstractNum>
  <w:abstractNum w:abstractNumId="4">
    <w:nsid w:val="B4E3A0DE"/>
    <w:multiLevelType w:val="singleLevel"/>
    <w:tmpl w:val="B4E3A0DE"/>
    <w:lvl w:ilvl="0" w:tentative="0">
      <w:start w:val="1"/>
      <w:numFmt w:val="decimal"/>
      <w:lvlText w:val="%1."/>
      <w:lvlJc w:val="left"/>
      <w:pPr>
        <w:ind w:left="425" w:hanging="425"/>
      </w:pPr>
      <w:rPr>
        <w:rFonts w:hint="default"/>
      </w:rPr>
    </w:lvl>
  </w:abstractNum>
  <w:abstractNum w:abstractNumId="5">
    <w:nsid w:val="BD591120"/>
    <w:multiLevelType w:val="singleLevel"/>
    <w:tmpl w:val="BD591120"/>
    <w:lvl w:ilvl="0" w:tentative="0">
      <w:start w:val="1"/>
      <w:numFmt w:val="decimal"/>
      <w:lvlText w:val="%1."/>
      <w:lvlJc w:val="left"/>
      <w:pPr>
        <w:ind w:left="425" w:hanging="425"/>
      </w:pPr>
      <w:rPr>
        <w:rFonts w:hint="default"/>
      </w:rPr>
    </w:lvl>
  </w:abstractNum>
  <w:abstractNum w:abstractNumId="6">
    <w:nsid w:val="BDA55F74"/>
    <w:multiLevelType w:val="singleLevel"/>
    <w:tmpl w:val="BDA55F74"/>
    <w:lvl w:ilvl="0" w:tentative="0">
      <w:start w:val="1"/>
      <w:numFmt w:val="decimal"/>
      <w:lvlText w:val="%1."/>
      <w:lvlJc w:val="left"/>
      <w:pPr>
        <w:ind w:left="425" w:hanging="425"/>
      </w:pPr>
      <w:rPr>
        <w:rFonts w:hint="default"/>
      </w:rPr>
    </w:lvl>
  </w:abstractNum>
  <w:abstractNum w:abstractNumId="7">
    <w:nsid w:val="BE325965"/>
    <w:multiLevelType w:val="singleLevel"/>
    <w:tmpl w:val="BE325965"/>
    <w:lvl w:ilvl="0" w:tentative="0">
      <w:start w:val="1"/>
      <w:numFmt w:val="decimal"/>
      <w:lvlText w:val="%1."/>
      <w:lvlJc w:val="left"/>
      <w:pPr>
        <w:ind w:left="425" w:hanging="425"/>
      </w:pPr>
      <w:rPr>
        <w:rFonts w:hint="default"/>
      </w:rPr>
    </w:lvl>
  </w:abstractNum>
  <w:abstractNum w:abstractNumId="8">
    <w:nsid w:val="C04B03FC"/>
    <w:multiLevelType w:val="singleLevel"/>
    <w:tmpl w:val="C04B03FC"/>
    <w:lvl w:ilvl="0" w:tentative="0">
      <w:start w:val="1"/>
      <w:numFmt w:val="decimal"/>
      <w:lvlText w:val="%1."/>
      <w:lvlJc w:val="left"/>
      <w:pPr>
        <w:ind w:left="425" w:hanging="425"/>
      </w:pPr>
      <w:rPr>
        <w:rFonts w:hint="default"/>
      </w:rPr>
    </w:lvl>
  </w:abstractNum>
  <w:abstractNum w:abstractNumId="9">
    <w:nsid w:val="C788FF82"/>
    <w:multiLevelType w:val="singleLevel"/>
    <w:tmpl w:val="C788FF82"/>
    <w:lvl w:ilvl="0" w:tentative="0">
      <w:start w:val="1"/>
      <w:numFmt w:val="decimal"/>
      <w:lvlText w:val="%1."/>
      <w:lvlJc w:val="left"/>
      <w:pPr>
        <w:ind w:left="425" w:hanging="425"/>
      </w:pPr>
      <w:rPr>
        <w:rFonts w:hint="default"/>
      </w:rPr>
    </w:lvl>
  </w:abstractNum>
  <w:abstractNum w:abstractNumId="10">
    <w:nsid w:val="C96C42D0"/>
    <w:multiLevelType w:val="singleLevel"/>
    <w:tmpl w:val="C96C42D0"/>
    <w:lvl w:ilvl="0" w:tentative="0">
      <w:start w:val="1"/>
      <w:numFmt w:val="decimal"/>
      <w:lvlText w:val="%1."/>
      <w:lvlJc w:val="left"/>
      <w:pPr>
        <w:ind w:left="425" w:hanging="425"/>
      </w:pPr>
      <w:rPr>
        <w:rFonts w:hint="default"/>
      </w:rPr>
    </w:lvl>
  </w:abstractNum>
  <w:abstractNum w:abstractNumId="11">
    <w:nsid w:val="CAC5D6C5"/>
    <w:multiLevelType w:val="singleLevel"/>
    <w:tmpl w:val="CAC5D6C5"/>
    <w:lvl w:ilvl="0" w:tentative="0">
      <w:start w:val="1"/>
      <w:numFmt w:val="decimal"/>
      <w:lvlText w:val="%1."/>
      <w:lvlJc w:val="left"/>
      <w:pPr>
        <w:ind w:left="425" w:hanging="425"/>
      </w:pPr>
      <w:rPr>
        <w:rFonts w:hint="default"/>
      </w:rPr>
    </w:lvl>
  </w:abstractNum>
  <w:abstractNum w:abstractNumId="12">
    <w:nsid w:val="D3B48BD1"/>
    <w:multiLevelType w:val="singleLevel"/>
    <w:tmpl w:val="D3B48BD1"/>
    <w:lvl w:ilvl="0" w:tentative="0">
      <w:start w:val="1"/>
      <w:numFmt w:val="decimal"/>
      <w:lvlText w:val="%1."/>
      <w:lvlJc w:val="left"/>
      <w:pPr>
        <w:ind w:left="425" w:hanging="425"/>
      </w:pPr>
      <w:rPr>
        <w:rFonts w:hint="default"/>
      </w:rPr>
    </w:lvl>
  </w:abstractNum>
  <w:abstractNum w:abstractNumId="13">
    <w:nsid w:val="D4A25357"/>
    <w:multiLevelType w:val="multilevel"/>
    <w:tmpl w:val="D4A25357"/>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4">
    <w:nsid w:val="D84386ED"/>
    <w:multiLevelType w:val="singleLevel"/>
    <w:tmpl w:val="D84386ED"/>
    <w:lvl w:ilvl="0" w:tentative="0">
      <w:start w:val="3"/>
      <w:numFmt w:val="decimal"/>
      <w:suff w:val="nothing"/>
      <w:lvlText w:val="%1、"/>
      <w:lvlJc w:val="left"/>
    </w:lvl>
  </w:abstractNum>
  <w:abstractNum w:abstractNumId="15">
    <w:nsid w:val="D89F3EAC"/>
    <w:multiLevelType w:val="singleLevel"/>
    <w:tmpl w:val="D89F3EAC"/>
    <w:lvl w:ilvl="0" w:tentative="0">
      <w:start w:val="1"/>
      <w:numFmt w:val="decimal"/>
      <w:lvlText w:val="%1."/>
      <w:lvlJc w:val="left"/>
      <w:pPr>
        <w:ind w:left="425" w:hanging="425"/>
      </w:pPr>
      <w:rPr>
        <w:rFonts w:hint="default"/>
      </w:rPr>
    </w:lvl>
  </w:abstractNum>
  <w:abstractNum w:abstractNumId="16">
    <w:nsid w:val="E30D6620"/>
    <w:multiLevelType w:val="singleLevel"/>
    <w:tmpl w:val="E30D6620"/>
    <w:lvl w:ilvl="0" w:tentative="0">
      <w:start w:val="1"/>
      <w:numFmt w:val="decimal"/>
      <w:lvlText w:val="%1."/>
      <w:lvlJc w:val="left"/>
      <w:pPr>
        <w:ind w:left="425" w:hanging="425"/>
      </w:pPr>
      <w:rPr>
        <w:rFonts w:hint="default"/>
      </w:rPr>
    </w:lvl>
  </w:abstractNum>
  <w:abstractNum w:abstractNumId="17">
    <w:nsid w:val="E4079736"/>
    <w:multiLevelType w:val="singleLevel"/>
    <w:tmpl w:val="E4079736"/>
    <w:lvl w:ilvl="0" w:tentative="0">
      <w:start w:val="1"/>
      <w:numFmt w:val="decimal"/>
      <w:lvlText w:val="%1."/>
      <w:lvlJc w:val="left"/>
      <w:pPr>
        <w:ind w:left="425" w:hanging="425"/>
      </w:pPr>
      <w:rPr>
        <w:rFonts w:hint="default"/>
      </w:rPr>
    </w:lvl>
  </w:abstractNum>
  <w:abstractNum w:abstractNumId="18">
    <w:nsid w:val="EDD8CA1B"/>
    <w:multiLevelType w:val="singleLevel"/>
    <w:tmpl w:val="EDD8CA1B"/>
    <w:lvl w:ilvl="0" w:tentative="0">
      <w:start w:val="1"/>
      <w:numFmt w:val="decimal"/>
      <w:suff w:val="nothing"/>
      <w:lvlText w:val="%1、"/>
      <w:lvlJc w:val="left"/>
    </w:lvl>
  </w:abstractNum>
  <w:abstractNum w:abstractNumId="19">
    <w:nsid w:val="F44DCEC6"/>
    <w:multiLevelType w:val="singleLevel"/>
    <w:tmpl w:val="F44DCEC6"/>
    <w:lvl w:ilvl="0" w:tentative="0">
      <w:start w:val="1"/>
      <w:numFmt w:val="decimal"/>
      <w:lvlText w:val="%1."/>
      <w:lvlJc w:val="left"/>
      <w:pPr>
        <w:ind w:left="425" w:hanging="425"/>
      </w:pPr>
      <w:rPr>
        <w:rFonts w:hint="default"/>
      </w:rPr>
    </w:lvl>
  </w:abstractNum>
  <w:abstractNum w:abstractNumId="20">
    <w:nsid w:val="F680FA2A"/>
    <w:multiLevelType w:val="singleLevel"/>
    <w:tmpl w:val="F680FA2A"/>
    <w:lvl w:ilvl="0" w:tentative="0">
      <w:start w:val="1"/>
      <w:numFmt w:val="decimal"/>
      <w:lvlText w:val="%1."/>
      <w:lvlJc w:val="left"/>
      <w:pPr>
        <w:ind w:left="425" w:hanging="425"/>
      </w:pPr>
      <w:rPr>
        <w:rFonts w:hint="default"/>
      </w:rPr>
    </w:lvl>
  </w:abstractNum>
  <w:abstractNum w:abstractNumId="21">
    <w:nsid w:val="02DB6268"/>
    <w:multiLevelType w:val="multilevel"/>
    <w:tmpl w:val="02DB6268"/>
    <w:lvl w:ilvl="0" w:tentative="0">
      <w:start w:val="1"/>
      <w:numFmt w:val="decimal"/>
      <w:suff w:val="space"/>
      <w:lvlText w:val="%1"/>
      <w:lvlJc w:val="center"/>
      <w:pPr>
        <w:ind w:left="0" w:firstLine="0"/>
      </w:pPr>
      <w:rPr>
        <w:rFonts w:hint="default" w:ascii="Times New Roman" w:hAnsi="Times New Roman"/>
        <w:b/>
        <w:i w:val="0"/>
        <w:sz w:val="32"/>
      </w:rPr>
    </w:lvl>
    <w:lvl w:ilvl="1" w:tentative="0">
      <w:start w:val="1"/>
      <w:numFmt w:val="decimal"/>
      <w:suff w:val="space"/>
      <w:lvlText w:val="%1.%2"/>
      <w:lvlJc w:val="left"/>
      <w:pPr>
        <w:ind w:left="2411" w:firstLine="0"/>
      </w:pPr>
      <w:rPr>
        <w:rFonts w:hint="default" w:ascii="Times New Roman" w:hAnsi="Times New Roman"/>
        <w:b/>
        <w:i w:val="0"/>
        <w:sz w:val="30"/>
      </w:rPr>
    </w:lvl>
    <w:lvl w:ilvl="2" w:tentative="0">
      <w:start w:val="1"/>
      <w:numFmt w:val="decimal"/>
      <w:suff w:val="space"/>
      <w:lvlText w:val="%1.%2.%3"/>
      <w:lvlJc w:val="left"/>
      <w:pPr>
        <w:ind w:left="0" w:firstLine="0"/>
      </w:pPr>
      <w:rPr>
        <w:rFonts w:hint="default" w:ascii="Times New Roman" w:hAnsi="Times New Roman"/>
        <w:b/>
        <w:i w:val="0"/>
        <w:sz w:val="28"/>
      </w:rPr>
    </w:lvl>
    <w:lvl w:ilvl="3" w:tentative="0">
      <w:start w:val="1"/>
      <w:numFmt w:val="decimal"/>
      <w:suff w:val="space"/>
      <w:lvlText w:val="%1.%2.%3.%4"/>
      <w:lvlJc w:val="left"/>
      <w:pPr>
        <w:ind w:left="0" w:firstLine="0"/>
      </w:pPr>
      <w:rPr>
        <w:rFonts w:hint="default" w:ascii="Times New Roman" w:hAnsi="Times New Roman" w:eastAsia="宋体" w:cs="Times New Roman"/>
      </w:rPr>
    </w:lvl>
    <w:lvl w:ilvl="4" w:tentative="0">
      <w:start w:val="1"/>
      <w:numFmt w:val="decimal"/>
      <w:lvlRestart w:val="2"/>
      <w:pStyle w:val="43"/>
      <w:suff w:val="space"/>
      <w:lvlText w:val="图%1.%2.%5"/>
      <w:lvlJc w:val="center"/>
      <w:pPr>
        <w:ind w:left="2127" w:firstLine="0"/>
      </w:pPr>
      <w:rPr>
        <w:rFonts w:hint="eastAsia"/>
        <w:color w:val="auto"/>
      </w:rPr>
    </w:lvl>
    <w:lvl w:ilvl="5" w:tentative="0">
      <w:start w:val="1"/>
      <w:numFmt w:val="decimal"/>
      <w:lvlRestart w:val="2"/>
      <w:pStyle w:val="44"/>
      <w:suff w:val="space"/>
      <w:lvlText w:val="表%1.%2.%6"/>
      <w:lvlJc w:val="center"/>
      <w:pPr>
        <w:ind w:left="2552" w:firstLine="0"/>
      </w:pPr>
      <w:rPr>
        <w:rFonts w:hint="eastAsia"/>
      </w:rPr>
    </w:lvl>
    <w:lvl w:ilvl="6" w:tentative="0">
      <w:start w:val="1"/>
      <w:numFmt w:val="decimal"/>
      <w:lvlRestart w:val="2"/>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0D863FAF"/>
    <w:multiLevelType w:val="singleLevel"/>
    <w:tmpl w:val="0D863FAF"/>
    <w:lvl w:ilvl="0" w:tentative="0">
      <w:start w:val="1"/>
      <w:numFmt w:val="decimal"/>
      <w:lvlText w:val="(%1)"/>
      <w:lvlJc w:val="left"/>
      <w:pPr>
        <w:ind w:left="425" w:hanging="425"/>
      </w:pPr>
      <w:rPr>
        <w:rFonts w:hint="default"/>
      </w:rPr>
    </w:lvl>
  </w:abstractNum>
  <w:abstractNum w:abstractNumId="23">
    <w:nsid w:val="116799D0"/>
    <w:multiLevelType w:val="singleLevel"/>
    <w:tmpl w:val="116799D0"/>
    <w:lvl w:ilvl="0" w:tentative="0">
      <w:start w:val="1"/>
      <w:numFmt w:val="decimal"/>
      <w:lvlText w:val="%1."/>
      <w:lvlJc w:val="left"/>
      <w:pPr>
        <w:ind w:left="425" w:hanging="425"/>
      </w:pPr>
      <w:rPr>
        <w:rFonts w:hint="default"/>
      </w:rPr>
    </w:lvl>
  </w:abstractNum>
  <w:abstractNum w:abstractNumId="24">
    <w:nsid w:val="155D0CDC"/>
    <w:multiLevelType w:val="singleLevel"/>
    <w:tmpl w:val="155D0CDC"/>
    <w:lvl w:ilvl="0" w:tentative="0">
      <w:start w:val="1"/>
      <w:numFmt w:val="decimal"/>
      <w:lvlText w:val="%1."/>
      <w:lvlJc w:val="left"/>
      <w:pPr>
        <w:ind w:left="425" w:hanging="425"/>
      </w:pPr>
      <w:rPr>
        <w:rFonts w:hint="default"/>
      </w:rPr>
    </w:lvl>
  </w:abstractNum>
  <w:abstractNum w:abstractNumId="25">
    <w:nsid w:val="15E5D8A5"/>
    <w:multiLevelType w:val="singleLevel"/>
    <w:tmpl w:val="15E5D8A5"/>
    <w:lvl w:ilvl="0" w:tentative="0">
      <w:start w:val="1"/>
      <w:numFmt w:val="decimal"/>
      <w:lvlText w:val="%1."/>
      <w:lvlJc w:val="left"/>
      <w:pPr>
        <w:ind w:left="425" w:hanging="425"/>
      </w:pPr>
      <w:rPr>
        <w:rFonts w:hint="default"/>
      </w:rPr>
    </w:lvl>
  </w:abstractNum>
  <w:abstractNum w:abstractNumId="26">
    <w:nsid w:val="1C285982"/>
    <w:multiLevelType w:val="singleLevel"/>
    <w:tmpl w:val="1C285982"/>
    <w:lvl w:ilvl="0" w:tentative="0">
      <w:start w:val="2"/>
      <w:numFmt w:val="decimal"/>
      <w:suff w:val="nothing"/>
      <w:lvlText w:val="（%1）"/>
      <w:lvlJc w:val="left"/>
    </w:lvl>
  </w:abstractNum>
  <w:abstractNum w:abstractNumId="27">
    <w:nsid w:val="1EBB45F7"/>
    <w:multiLevelType w:val="singleLevel"/>
    <w:tmpl w:val="1EBB45F7"/>
    <w:lvl w:ilvl="0" w:tentative="0">
      <w:start w:val="1"/>
      <w:numFmt w:val="decimal"/>
      <w:lvlText w:val="%1."/>
      <w:lvlJc w:val="left"/>
      <w:pPr>
        <w:ind w:left="425" w:hanging="425"/>
      </w:pPr>
      <w:rPr>
        <w:rFonts w:hint="default"/>
      </w:rPr>
    </w:lvl>
  </w:abstractNum>
  <w:abstractNum w:abstractNumId="28">
    <w:nsid w:val="21A04081"/>
    <w:multiLevelType w:val="multilevel"/>
    <w:tmpl w:val="21A0408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9">
    <w:nsid w:val="2636C18E"/>
    <w:multiLevelType w:val="singleLevel"/>
    <w:tmpl w:val="2636C18E"/>
    <w:lvl w:ilvl="0" w:tentative="0">
      <w:start w:val="1"/>
      <w:numFmt w:val="decimal"/>
      <w:lvlText w:val="%1."/>
      <w:lvlJc w:val="left"/>
      <w:pPr>
        <w:ind w:left="425" w:hanging="425"/>
      </w:pPr>
      <w:rPr>
        <w:rFonts w:hint="default"/>
      </w:rPr>
    </w:lvl>
  </w:abstractNum>
  <w:abstractNum w:abstractNumId="30">
    <w:nsid w:val="29A4DCA1"/>
    <w:multiLevelType w:val="singleLevel"/>
    <w:tmpl w:val="29A4DCA1"/>
    <w:lvl w:ilvl="0" w:tentative="0">
      <w:start w:val="1"/>
      <w:numFmt w:val="decimal"/>
      <w:lvlText w:val="%1."/>
      <w:lvlJc w:val="left"/>
      <w:pPr>
        <w:ind w:left="425" w:hanging="425"/>
      </w:pPr>
      <w:rPr>
        <w:rFonts w:hint="default"/>
      </w:rPr>
    </w:lvl>
  </w:abstractNum>
  <w:abstractNum w:abstractNumId="31">
    <w:nsid w:val="306EAF8D"/>
    <w:multiLevelType w:val="singleLevel"/>
    <w:tmpl w:val="306EAF8D"/>
    <w:lvl w:ilvl="0" w:tentative="0">
      <w:start w:val="1"/>
      <w:numFmt w:val="decimal"/>
      <w:lvlText w:val="%1."/>
      <w:lvlJc w:val="left"/>
      <w:pPr>
        <w:ind w:left="425" w:hanging="425"/>
      </w:pPr>
      <w:rPr>
        <w:rFonts w:hint="default"/>
      </w:rPr>
    </w:lvl>
  </w:abstractNum>
  <w:abstractNum w:abstractNumId="32">
    <w:nsid w:val="4CBBB6A1"/>
    <w:multiLevelType w:val="singleLevel"/>
    <w:tmpl w:val="4CBBB6A1"/>
    <w:lvl w:ilvl="0" w:tentative="0">
      <w:start w:val="1"/>
      <w:numFmt w:val="decimal"/>
      <w:lvlText w:val="%1."/>
      <w:lvlJc w:val="left"/>
      <w:pPr>
        <w:ind w:left="425" w:hanging="425"/>
      </w:pPr>
      <w:rPr>
        <w:rFonts w:hint="default"/>
      </w:rPr>
    </w:lvl>
  </w:abstractNum>
  <w:abstractNum w:abstractNumId="33">
    <w:nsid w:val="5BC44A29"/>
    <w:multiLevelType w:val="singleLevel"/>
    <w:tmpl w:val="5BC44A29"/>
    <w:lvl w:ilvl="0" w:tentative="0">
      <w:start w:val="1"/>
      <w:numFmt w:val="decimal"/>
      <w:lvlText w:val="%1."/>
      <w:lvlJc w:val="left"/>
      <w:pPr>
        <w:ind w:left="425" w:hanging="425"/>
      </w:pPr>
      <w:rPr>
        <w:rFonts w:hint="default"/>
      </w:rPr>
    </w:lvl>
  </w:abstractNum>
  <w:abstractNum w:abstractNumId="34">
    <w:nsid w:val="6113AF41"/>
    <w:multiLevelType w:val="singleLevel"/>
    <w:tmpl w:val="6113AF41"/>
    <w:lvl w:ilvl="0" w:tentative="0">
      <w:start w:val="1"/>
      <w:numFmt w:val="decimal"/>
      <w:lvlText w:val="%1."/>
      <w:lvlJc w:val="left"/>
      <w:pPr>
        <w:ind w:left="425" w:hanging="425"/>
      </w:pPr>
      <w:rPr>
        <w:rFonts w:hint="default"/>
      </w:rPr>
    </w:lvl>
  </w:abstractNum>
  <w:abstractNum w:abstractNumId="35">
    <w:nsid w:val="681F61C2"/>
    <w:multiLevelType w:val="singleLevel"/>
    <w:tmpl w:val="681F61C2"/>
    <w:lvl w:ilvl="0" w:tentative="0">
      <w:start w:val="1"/>
      <w:numFmt w:val="decimal"/>
      <w:lvlText w:val="%1."/>
      <w:lvlJc w:val="left"/>
      <w:pPr>
        <w:ind w:left="425" w:hanging="425"/>
      </w:pPr>
      <w:rPr>
        <w:rFonts w:hint="default"/>
      </w:rPr>
    </w:lvl>
  </w:abstractNum>
  <w:abstractNum w:abstractNumId="36">
    <w:nsid w:val="68672DD1"/>
    <w:multiLevelType w:val="singleLevel"/>
    <w:tmpl w:val="68672DD1"/>
    <w:lvl w:ilvl="0" w:tentative="0">
      <w:start w:val="1"/>
      <w:numFmt w:val="decimal"/>
      <w:lvlText w:val="%1."/>
      <w:lvlJc w:val="left"/>
      <w:pPr>
        <w:ind w:left="425" w:hanging="425"/>
      </w:pPr>
      <w:rPr>
        <w:rFonts w:hint="default"/>
      </w:rPr>
    </w:lvl>
  </w:abstractNum>
  <w:abstractNum w:abstractNumId="37">
    <w:nsid w:val="6ECAE15E"/>
    <w:multiLevelType w:val="singleLevel"/>
    <w:tmpl w:val="6ECAE15E"/>
    <w:lvl w:ilvl="0" w:tentative="0">
      <w:start w:val="1"/>
      <w:numFmt w:val="decimal"/>
      <w:lvlText w:val="%1."/>
      <w:lvlJc w:val="left"/>
      <w:pPr>
        <w:ind w:left="425" w:hanging="425"/>
      </w:pPr>
      <w:rPr>
        <w:rFonts w:hint="default"/>
      </w:rPr>
    </w:lvl>
  </w:abstractNum>
  <w:abstractNum w:abstractNumId="38">
    <w:nsid w:val="7866A99F"/>
    <w:multiLevelType w:val="singleLevel"/>
    <w:tmpl w:val="7866A99F"/>
    <w:lvl w:ilvl="0" w:tentative="0">
      <w:start w:val="1"/>
      <w:numFmt w:val="decimal"/>
      <w:lvlText w:val="%1."/>
      <w:lvlJc w:val="left"/>
      <w:pPr>
        <w:ind w:left="425" w:hanging="425"/>
      </w:pPr>
      <w:rPr>
        <w:rFonts w:hint="default"/>
      </w:rPr>
    </w:lvl>
  </w:abstractNum>
  <w:abstractNum w:abstractNumId="39">
    <w:nsid w:val="7C058C9B"/>
    <w:multiLevelType w:val="singleLevel"/>
    <w:tmpl w:val="7C058C9B"/>
    <w:lvl w:ilvl="0" w:tentative="0">
      <w:start w:val="1"/>
      <w:numFmt w:val="decimal"/>
      <w:lvlText w:val="%1."/>
      <w:lvlJc w:val="left"/>
      <w:pPr>
        <w:ind w:left="425" w:hanging="425"/>
      </w:pPr>
      <w:rPr>
        <w:rFonts w:hint="default"/>
      </w:rPr>
    </w:lvl>
  </w:abstractNum>
  <w:num w:numId="1">
    <w:abstractNumId w:val="13"/>
  </w:num>
  <w:num w:numId="2">
    <w:abstractNumId w:val="21"/>
  </w:num>
  <w:num w:numId="3">
    <w:abstractNumId w:val="18"/>
  </w:num>
  <w:num w:numId="4">
    <w:abstractNumId w:val="26"/>
  </w:num>
  <w:num w:numId="5">
    <w:abstractNumId w:val="35"/>
  </w:num>
  <w:num w:numId="6">
    <w:abstractNumId w:val="16"/>
  </w:num>
  <w:num w:numId="7">
    <w:abstractNumId w:val="8"/>
  </w:num>
  <w:num w:numId="8">
    <w:abstractNumId w:val="5"/>
  </w:num>
  <w:num w:numId="9">
    <w:abstractNumId w:val="11"/>
  </w:num>
  <w:num w:numId="10">
    <w:abstractNumId w:val="2"/>
  </w:num>
  <w:num w:numId="11">
    <w:abstractNumId w:val="31"/>
  </w:num>
  <w:num w:numId="12">
    <w:abstractNumId w:val="0"/>
  </w:num>
  <w:num w:numId="13">
    <w:abstractNumId w:val="27"/>
  </w:num>
  <w:num w:numId="14">
    <w:abstractNumId w:val="24"/>
  </w:num>
  <w:num w:numId="15">
    <w:abstractNumId w:val="22"/>
  </w:num>
  <w:num w:numId="16">
    <w:abstractNumId w:val="28"/>
  </w:num>
  <w:num w:numId="17">
    <w:abstractNumId w:val="3"/>
  </w:num>
  <w:num w:numId="18">
    <w:abstractNumId w:val="14"/>
  </w:num>
  <w:num w:numId="19">
    <w:abstractNumId w:val="19"/>
  </w:num>
  <w:num w:numId="20">
    <w:abstractNumId w:val="32"/>
  </w:num>
  <w:num w:numId="21">
    <w:abstractNumId w:val="38"/>
  </w:num>
  <w:num w:numId="22">
    <w:abstractNumId w:val="1"/>
  </w:num>
  <w:num w:numId="23">
    <w:abstractNumId w:val="17"/>
  </w:num>
  <w:num w:numId="24">
    <w:abstractNumId w:val="23"/>
  </w:num>
  <w:num w:numId="25">
    <w:abstractNumId w:val="39"/>
  </w:num>
  <w:num w:numId="26">
    <w:abstractNumId w:val="20"/>
  </w:num>
  <w:num w:numId="27">
    <w:abstractNumId w:val="37"/>
  </w:num>
  <w:num w:numId="28">
    <w:abstractNumId w:val="12"/>
  </w:num>
  <w:num w:numId="29">
    <w:abstractNumId w:val="29"/>
  </w:num>
  <w:num w:numId="30">
    <w:abstractNumId w:val="36"/>
  </w:num>
  <w:num w:numId="31">
    <w:abstractNumId w:val="30"/>
  </w:num>
  <w:num w:numId="32">
    <w:abstractNumId w:val="15"/>
  </w:num>
  <w:num w:numId="33">
    <w:abstractNumId w:val="6"/>
  </w:num>
  <w:num w:numId="34">
    <w:abstractNumId w:val="10"/>
  </w:num>
  <w:num w:numId="35">
    <w:abstractNumId w:val="33"/>
  </w:num>
  <w:num w:numId="36">
    <w:abstractNumId w:val="34"/>
  </w:num>
  <w:num w:numId="37">
    <w:abstractNumId w:val="9"/>
  </w:num>
  <w:num w:numId="38">
    <w:abstractNumId w:val="25"/>
  </w:num>
  <w:num w:numId="39">
    <w:abstractNumId w:val="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83447"/>
    <w:rsid w:val="00D23D98"/>
    <w:rsid w:val="00DA3B0A"/>
    <w:rsid w:val="01480F16"/>
    <w:rsid w:val="01F21EEF"/>
    <w:rsid w:val="028948BA"/>
    <w:rsid w:val="03702FD3"/>
    <w:rsid w:val="03D76459"/>
    <w:rsid w:val="041C4C5D"/>
    <w:rsid w:val="04D87AFA"/>
    <w:rsid w:val="04F10E89"/>
    <w:rsid w:val="05367047"/>
    <w:rsid w:val="05501F7D"/>
    <w:rsid w:val="06085323"/>
    <w:rsid w:val="06394CE6"/>
    <w:rsid w:val="077E3D62"/>
    <w:rsid w:val="078C3CF9"/>
    <w:rsid w:val="07F919BD"/>
    <w:rsid w:val="08D05C04"/>
    <w:rsid w:val="09107AEA"/>
    <w:rsid w:val="097E0624"/>
    <w:rsid w:val="09823FA4"/>
    <w:rsid w:val="09932DBE"/>
    <w:rsid w:val="099662A1"/>
    <w:rsid w:val="099D59EB"/>
    <w:rsid w:val="09C83435"/>
    <w:rsid w:val="09CA671C"/>
    <w:rsid w:val="0A9C6DFD"/>
    <w:rsid w:val="0B2C295E"/>
    <w:rsid w:val="0B3A2840"/>
    <w:rsid w:val="0B556C79"/>
    <w:rsid w:val="0B9E45E8"/>
    <w:rsid w:val="0BB04EC9"/>
    <w:rsid w:val="0BDC41B1"/>
    <w:rsid w:val="0C540FAF"/>
    <w:rsid w:val="0C977CBA"/>
    <w:rsid w:val="0D910C60"/>
    <w:rsid w:val="0E0D5441"/>
    <w:rsid w:val="0E2F5D03"/>
    <w:rsid w:val="0E6218D1"/>
    <w:rsid w:val="0E690136"/>
    <w:rsid w:val="0F035AF8"/>
    <w:rsid w:val="0F2A784D"/>
    <w:rsid w:val="0F612162"/>
    <w:rsid w:val="0F893070"/>
    <w:rsid w:val="0FCC53ED"/>
    <w:rsid w:val="0FF31BA8"/>
    <w:rsid w:val="107754BC"/>
    <w:rsid w:val="10C81D2E"/>
    <w:rsid w:val="10D54D80"/>
    <w:rsid w:val="10E723F2"/>
    <w:rsid w:val="10E75581"/>
    <w:rsid w:val="112278CE"/>
    <w:rsid w:val="118C35AC"/>
    <w:rsid w:val="118C3A3B"/>
    <w:rsid w:val="11FE74D3"/>
    <w:rsid w:val="12C26C0A"/>
    <w:rsid w:val="12CD1ED2"/>
    <w:rsid w:val="12F0682B"/>
    <w:rsid w:val="13201BEB"/>
    <w:rsid w:val="141D6F86"/>
    <w:rsid w:val="142F5137"/>
    <w:rsid w:val="145C1C19"/>
    <w:rsid w:val="14610194"/>
    <w:rsid w:val="149B14D7"/>
    <w:rsid w:val="14A06395"/>
    <w:rsid w:val="14BC4A99"/>
    <w:rsid w:val="14DF5219"/>
    <w:rsid w:val="15C42D02"/>
    <w:rsid w:val="164756E1"/>
    <w:rsid w:val="16834284"/>
    <w:rsid w:val="16EC78DB"/>
    <w:rsid w:val="17A17D2E"/>
    <w:rsid w:val="18300B23"/>
    <w:rsid w:val="186F69B1"/>
    <w:rsid w:val="19102226"/>
    <w:rsid w:val="196E59E7"/>
    <w:rsid w:val="1A296FAE"/>
    <w:rsid w:val="1A3D6C83"/>
    <w:rsid w:val="1AC24D5F"/>
    <w:rsid w:val="1AD62E5F"/>
    <w:rsid w:val="1AEC1878"/>
    <w:rsid w:val="1C89486E"/>
    <w:rsid w:val="1C8A16DD"/>
    <w:rsid w:val="1D0A7ABD"/>
    <w:rsid w:val="1D4B1ED3"/>
    <w:rsid w:val="1D7B1D28"/>
    <w:rsid w:val="1DAF63DD"/>
    <w:rsid w:val="1EEC76E9"/>
    <w:rsid w:val="1F0A37CE"/>
    <w:rsid w:val="1FA82523"/>
    <w:rsid w:val="1FF05A53"/>
    <w:rsid w:val="200B408E"/>
    <w:rsid w:val="20337F58"/>
    <w:rsid w:val="20EA0E15"/>
    <w:rsid w:val="20FA31F6"/>
    <w:rsid w:val="21640191"/>
    <w:rsid w:val="21D20296"/>
    <w:rsid w:val="2291329F"/>
    <w:rsid w:val="24066EFA"/>
    <w:rsid w:val="243E3652"/>
    <w:rsid w:val="24ED642F"/>
    <w:rsid w:val="25DA6A03"/>
    <w:rsid w:val="26000FFC"/>
    <w:rsid w:val="26785C00"/>
    <w:rsid w:val="26AA3236"/>
    <w:rsid w:val="26EB60EF"/>
    <w:rsid w:val="27937958"/>
    <w:rsid w:val="28177949"/>
    <w:rsid w:val="288C20F5"/>
    <w:rsid w:val="28984F8F"/>
    <w:rsid w:val="28A22899"/>
    <w:rsid w:val="28CC5659"/>
    <w:rsid w:val="28E158E6"/>
    <w:rsid w:val="29127DD1"/>
    <w:rsid w:val="295975CC"/>
    <w:rsid w:val="29822B46"/>
    <w:rsid w:val="29D5233E"/>
    <w:rsid w:val="29FA60C9"/>
    <w:rsid w:val="2A336F6B"/>
    <w:rsid w:val="2A553627"/>
    <w:rsid w:val="2AB44918"/>
    <w:rsid w:val="2AD5396D"/>
    <w:rsid w:val="2B385BA5"/>
    <w:rsid w:val="2BCB70B7"/>
    <w:rsid w:val="2C142B99"/>
    <w:rsid w:val="2C324DAD"/>
    <w:rsid w:val="2C3B1B1B"/>
    <w:rsid w:val="2C727A27"/>
    <w:rsid w:val="2CE100F4"/>
    <w:rsid w:val="2D311F51"/>
    <w:rsid w:val="2D5B72FE"/>
    <w:rsid w:val="2EDA313F"/>
    <w:rsid w:val="2F1C502F"/>
    <w:rsid w:val="2F78688B"/>
    <w:rsid w:val="2FBE480E"/>
    <w:rsid w:val="30403B12"/>
    <w:rsid w:val="305A6B4F"/>
    <w:rsid w:val="30782C0F"/>
    <w:rsid w:val="31C77BE1"/>
    <w:rsid w:val="322841C1"/>
    <w:rsid w:val="32C06924"/>
    <w:rsid w:val="33082956"/>
    <w:rsid w:val="337B5E12"/>
    <w:rsid w:val="340D5F11"/>
    <w:rsid w:val="352E5399"/>
    <w:rsid w:val="35513B2A"/>
    <w:rsid w:val="35DB6023"/>
    <w:rsid w:val="35FA217E"/>
    <w:rsid w:val="36BE1B73"/>
    <w:rsid w:val="36F66A2B"/>
    <w:rsid w:val="36FA3582"/>
    <w:rsid w:val="37B412F2"/>
    <w:rsid w:val="38080440"/>
    <w:rsid w:val="38CA6CB0"/>
    <w:rsid w:val="38EB6DD2"/>
    <w:rsid w:val="394520F8"/>
    <w:rsid w:val="39CE564E"/>
    <w:rsid w:val="39DA269E"/>
    <w:rsid w:val="3A3D169F"/>
    <w:rsid w:val="3A9643BE"/>
    <w:rsid w:val="3ABC4760"/>
    <w:rsid w:val="3BC62F18"/>
    <w:rsid w:val="3BE77728"/>
    <w:rsid w:val="3CA632AC"/>
    <w:rsid w:val="3CC76395"/>
    <w:rsid w:val="3D4E4272"/>
    <w:rsid w:val="3D63427A"/>
    <w:rsid w:val="3E484111"/>
    <w:rsid w:val="3EA93A1C"/>
    <w:rsid w:val="3F81399E"/>
    <w:rsid w:val="3FA4132B"/>
    <w:rsid w:val="3FCF6801"/>
    <w:rsid w:val="40285CFF"/>
    <w:rsid w:val="40677EDE"/>
    <w:rsid w:val="40A11E88"/>
    <w:rsid w:val="40FD3F18"/>
    <w:rsid w:val="4116748E"/>
    <w:rsid w:val="41693ADE"/>
    <w:rsid w:val="416B7CF1"/>
    <w:rsid w:val="41925E3B"/>
    <w:rsid w:val="4266293C"/>
    <w:rsid w:val="433510B3"/>
    <w:rsid w:val="43BC6902"/>
    <w:rsid w:val="44254A04"/>
    <w:rsid w:val="44406A3F"/>
    <w:rsid w:val="44A6286D"/>
    <w:rsid w:val="44CB2715"/>
    <w:rsid w:val="45153EFE"/>
    <w:rsid w:val="454A3B1C"/>
    <w:rsid w:val="458D219F"/>
    <w:rsid w:val="462C5BD6"/>
    <w:rsid w:val="46574D56"/>
    <w:rsid w:val="46AB6D0B"/>
    <w:rsid w:val="46AE5D58"/>
    <w:rsid w:val="46F26C63"/>
    <w:rsid w:val="470150C3"/>
    <w:rsid w:val="472B723C"/>
    <w:rsid w:val="47A11F37"/>
    <w:rsid w:val="48FA6F83"/>
    <w:rsid w:val="496D6135"/>
    <w:rsid w:val="497A0CA1"/>
    <w:rsid w:val="49BD4315"/>
    <w:rsid w:val="4ADD789E"/>
    <w:rsid w:val="4B700C5B"/>
    <w:rsid w:val="4B9E0B73"/>
    <w:rsid w:val="4BB20B1E"/>
    <w:rsid w:val="4BD765E4"/>
    <w:rsid w:val="4BFD21B6"/>
    <w:rsid w:val="4C161DA9"/>
    <w:rsid w:val="4CB021F2"/>
    <w:rsid w:val="4CB6115A"/>
    <w:rsid w:val="4CBA7362"/>
    <w:rsid w:val="4CD04AF6"/>
    <w:rsid w:val="4CE62DFB"/>
    <w:rsid w:val="4D024444"/>
    <w:rsid w:val="4DAB52A5"/>
    <w:rsid w:val="4E72289C"/>
    <w:rsid w:val="4F4B5F3F"/>
    <w:rsid w:val="4F4E4E0F"/>
    <w:rsid w:val="4F5C0B03"/>
    <w:rsid w:val="4F8C7559"/>
    <w:rsid w:val="4FD065E9"/>
    <w:rsid w:val="50344017"/>
    <w:rsid w:val="503C043D"/>
    <w:rsid w:val="50836D5B"/>
    <w:rsid w:val="51BA59D7"/>
    <w:rsid w:val="522350E6"/>
    <w:rsid w:val="52AD0C5E"/>
    <w:rsid w:val="53683F40"/>
    <w:rsid w:val="53874D68"/>
    <w:rsid w:val="53D7233B"/>
    <w:rsid w:val="53EF628A"/>
    <w:rsid w:val="545C14E4"/>
    <w:rsid w:val="546053B1"/>
    <w:rsid w:val="54BA5FD7"/>
    <w:rsid w:val="552F56E3"/>
    <w:rsid w:val="556E384F"/>
    <w:rsid w:val="562D2514"/>
    <w:rsid w:val="569B75B7"/>
    <w:rsid w:val="56C83ABE"/>
    <w:rsid w:val="56FF402F"/>
    <w:rsid w:val="574803C1"/>
    <w:rsid w:val="575D6537"/>
    <w:rsid w:val="57B34503"/>
    <w:rsid w:val="57EE47D1"/>
    <w:rsid w:val="58C8415C"/>
    <w:rsid w:val="58F5061C"/>
    <w:rsid w:val="59430F82"/>
    <w:rsid w:val="59AC1980"/>
    <w:rsid w:val="59F04BD2"/>
    <w:rsid w:val="59FE70DB"/>
    <w:rsid w:val="5A1D5B0A"/>
    <w:rsid w:val="5AC52ECD"/>
    <w:rsid w:val="5ACD0FBF"/>
    <w:rsid w:val="5B2852EC"/>
    <w:rsid w:val="5B8D124F"/>
    <w:rsid w:val="5C1118FB"/>
    <w:rsid w:val="5C4B4661"/>
    <w:rsid w:val="5C630DD7"/>
    <w:rsid w:val="5C8D6E44"/>
    <w:rsid w:val="5CB2034A"/>
    <w:rsid w:val="5CD906CC"/>
    <w:rsid w:val="5D3B0F8F"/>
    <w:rsid w:val="5D424522"/>
    <w:rsid w:val="5D7C1AD9"/>
    <w:rsid w:val="5E0A70D7"/>
    <w:rsid w:val="5E1B5947"/>
    <w:rsid w:val="5F24627D"/>
    <w:rsid w:val="604106B9"/>
    <w:rsid w:val="605A21AE"/>
    <w:rsid w:val="60B91720"/>
    <w:rsid w:val="60BB010B"/>
    <w:rsid w:val="60E17262"/>
    <w:rsid w:val="610B7004"/>
    <w:rsid w:val="617059E9"/>
    <w:rsid w:val="617A79A5"/>
    <w:rsid w:val="61820EC5"/>
    <w:rsid w:val="618677B5"/>
    <w:rsid w:val="61DF188E"/>
    <w:rsid w:val="61E635CD"/>
    <w:rsid w:val="623249BA"/>
    <w:rsid w:val="623B74A0"/>
    <w:rsid w:val="62904588"/>
    <w:rsid w:val="637650B9"/>
    <w:rsid w:val="64BA286B"/>
    <w:rsid w:val="652D0B7E"/>
    <w:rsid w:val="658A2FCF"/>
    <w:rsid w:val="65E87703"/>
    <w:rsid w:val="663745FE"/>
    <w:rsid w:val="66440EB3"/>
    <w:rsid w:val="66441C82"/>
    <w:rsid w:val="665A5973"/>
    <w:rsid w:val="66880A1C"/>
    <w:rsid w:val="67D631ED"/>
    <w:rsid w:val="68227E19"/>
    <w:rsid w:val="68FA2AFE"/>
    <w:rsid w:val="69B515C0"/>
    <w:rsid w:val="6A624E66"/>
    <w:rsid w:val="6A827F1D"/>
    <w:rsid w:val="6AA44965"/>
    <w:rsid w:val="6B792AB3"/>
    <w:rsid w:val="6BF27AD3"/>
    <w:rsid w:val="6D1C3950"/>
    <w:rsid w:val="6D237483"/>
    <w:rsid w:val="6D690741"/>
    <w:rsid w:val="6DFB1BD4"/>
    <w:rsid w:val="6E3F7F39"/>
    <w:rsid w:val="6E842006"/>
    <w:rsid w:val="6E9A0263"/>
    <w:rsid w:val="6EBA2DFA"/>
    <w:rsid w:val="6EC74CC8"/>
    <w:rsid w:val="6F213AE1"/>
    <w:rsid w:val="6F5A751C"/>
    <w:rsid w:val="6FF33A2E"/>
    <w:rsid w:val="70276556"/>
    <w:rsid w:val="704545BF"/>
    <w:rsid w:val="70747686"/>
    <w:rsid w:val="70F343D3"/>
    <w:rsid w:val="70F41014"/>
    <w:rsid w:val="7163180C"/>
    <w:rsid w:val="71F23B3B"/>
    <w:rsid w:val="724C7424"/>
    <w:rsid w:val="72AC297B"/>
    <w:rsid w:val="72B31B7F"/>
    <w:rsid w:val="72D538DE"/>
    <w:rsid w:val="731C1477"/>
    <w:rsid w:val="736E12FB"/>
    <w:rsid w:val="73812DEF"/>
    <w:rsid w:val="73CD0275"/>
    <w:rsid w:val="73D418E9"/>
    <w:rsid w:val="741278A5"/>
    <w:rsid w:val="74503EFF"/>
    <w:rsid w:val="748142EC"/>
    <w:rsid w:val="74C2467F"/>
    <w:rsid w:val="74D87E33"/>
    <w:rsid w:val="74E54AE4"/>
    <w:rsid w:val="74F424C8"/>
    <w:rsid w:val="75B666BE"/>
    <w:rsid w:val="75E579CC"/>
    <w:rsid w:val="763077F0"/>
    <w:rsid w:val="76556405"/>
    <w:rsid w:val="76D61F65"/>
    <w:rsid w:val="76FC4A97"/>
    <w:rsid w:val="77143F28"/>
    <w:rsid w:val="779769A2"/>
    <w:rsid w:val="781B6146"/>
    <w:rsid w:val="782C46BF"/>
    <w:rsid w:val="788758AB"/>
    <w:rsid w:val="78892532"/>
    <w:rsid w:val="78A743D8"/>
    <w:rsid w:val="795B6E64"/>
    <w:rsid w:val="7AA614E0"/>
    <w:rsid w:val="7B1F440E"/>
    <w:rsid w:val="7B603644"/>
    <w:rsid w:val="7B9A5DC6"/>
    <w:rsid w:val="7BC81171"/>
    <w:rsid w:val="7BEB1820"/>
    <w:rsid w:val="7CF8248D"/>
    <w:rsid w:val="7D3F67F0"/>
    <w:rsid w:val="7D430D5D"/>
    <w:rsid w:val="7D4C47EF"/>
    <w:rsid w:val="7DA20467"/>
    <w:rsid w:val="7DC056D3"/>
    <w:rsid w:val="7DE30F32"/>
    <w:rsid w:val="7E307DA0"/>
    <w:rsid w:val="7E6851A4"/>
    <w:rsid w:val="7E94678C"/>
    <w:rsid w:val="7E983AE1"/>
    <w:rsid w:val="7F0816A5"/>
    <w:rsid w:val="7F2067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4"/>
    <w:qFormat/>
    <w:uiPriority w:val="0"/>
    <w:pPr>
      <w:keepNext/>
      <w:keepLines/>
      <w:numPr>
        <w:ilvl w:val="0"/>
        <w:numId w:val="0"/>
      </w:numPr>
      <w:spacing w:line="360" w:lineRule="auto"/>
      <w:ind w:left="0" w:firstLine="0" w:firstLineChars="0"/>
      <w:jc w:val="left"/>
      <w:outlineLvl w:val="0"/>
    </w:pPr>
    <w:rPr>
      <w:rFonts w:ascii="Times New Roman" w:hAnsi="Times New Roman" w:eastAsia="宋体"/>
      <w:b/>
      <w:kern w:val="44"/>
      <w:sz w:val="28"/>
    </w:rPr>
  </w:style>
  <w:style w:type="paragraph" w:styleId="3">
    <w:name w:val="heading 2"/>
    <w:basedOn w:val="1"/>
    <w:next w:val="1"/>
    <w:link w:val="35"/>
    <w:unhideWhenUsed/>
    <w:qFormat/>
    <w:uiPriority w:val="0"/>
    <w:pPr>
      <w:keepNext/>
      <w:numPr>
        <w:ilvl w:val="1"/>
        <w:numId w:val="0"/>
      </w:numPr>
      <w:pBdr>
        <w:top w:val="none" w:color="auto" w:sz="0" w:space="1"/>
        <w:left w:val="none" w:color="auto" w:sz="0" w:space="4"/>
        <w:bottom w:val="none" w:color="4472C4" w:sz="0" w:space="1"/>
        <w:right w:val="none" w:color="auto" w:sz="0" w:space="4"/>
      </w:pBdr>
      <w:tabs>
        <w:tab w:val="left" w:pos="907"/>
      </w:tabs>
      <w:spacing w:before="0" w:after="0"/>
      <w:ind w:left="576" w:hanging="576" w:firstLineChars="0"/>
      <w:jc w:val="left"/>
      <w:outlineLvl w:val="1"/>
    </w:pPr>
    <w:rPr>
      <w:rFonts w:ascii="Times New Roman" w:hAnsi="Times New Roman" w:eastAsia="宋体" w:cs="Calibri"/>
      <w:b/>
      <w:spacing w:val="-2"/>
      <w:lang w:val="en-GB"/>
    </w:rPr>
  </w:style>
  <w:style w:type="paragraph" w:styleId="4">
    <w:name w:val="heading 3"/>
    <w:basedOn w:val="1"/>
    <w:next w:val="1"/>
    <w:link w:val="36"/>
    <w:unhideWhenUsed/>
    <w:qFormat/>
    <w:uiPriority w:val="0"/>
    <w:pPr>
      <w:keepNext/>
      <w:keepLines/>
      <w:numPr>
        <w:ilvl w:val="0"/>
        <w:numId w:val="0"/>
      </w:numPr>
      <w:spacing w:line="360" w:lineRule="auto"/>
      <w:ind w:left="0" w:firstLine="0" w:firstLineChars="0"/>
      <w:jc w:val="left"/>
      <w:outlineLvl w:val="2"/>
    </w:pPr>
    <w:rPr>
      <w:rFonts w:ascii="Times New Roman" w:hAnsi="Times New Roman" w:eastAsia="宋体"/>
      <w:b/>
      <w:bCs/>
      <w:szCs w:val="32"/>
    </w:rPr>
  </w:style>
  <w:style w:type="paragraph" w:styleId="5">
    <w:name w:val="heading 4"/>
    <w:basedOn w:val="1"/>
    <w:next w:val="1"/>
    <w:link w:val="37"/>
    <w:unhideWhenUsed/>
    <w:qFormat/>
    <w:uiPriority w:val="0"/>
    <w:pPr>
      <w:keepNext/>
      <w:keepLines/>
      <w:widowControl w:val="0"/>
      <w:numPr>
        <w:ilvl w:val="3"/>
        <w:numId w:val="0"/>
      </w:numPr>
      <w:suppressLineNumbers w:val="0"/>
      <w:spacing w:beforeAutospacing="0" w:afterAutospacing="0" w:line="360" w:lineRule="auto"/>
      <w:ind w:left="0" w:right="0" w:firstLine="883" w:firstLineChars="200"/>
      <w:jc w:val="left"/>
      <w:outlineLvl w:val="3"/>
    </w:pPr>
    <w:rPr>
      <w:rFonts w:ascii="Times New Roman" w:hAnsi="Times New Roman" w:eastAsia="宋体"/>
      <w:b/>
      <w:bCs/>
      <w:kern w:val="0"/>
      <w:szCs w:val="28"/>
      <w:lang w:val="zh-CN"/>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1">
    <w:name w:val="Default Paragraph Font"/>
    <w:unhideWhenUsed/>
    <w:qFormat/>
    <w:uiPriority w:val="1"/>
  </w:style>
  <w:style w:type="table" w:default="1" w:styleId="29">
    <w:name w:val="Normal Table"/>
    <w:semiHidden/>
    <w:qFormat/>
    <w:uiPriority w:val="0"/>
    <w:tblPr>
      <w:tblCellMar>
        <w:top w:w="0" w:type="dxa"/>
        <w:left w:w="108" w:type="dxa"/>
        <w:bottom w:w="0" w:type="dxa"/>
        <w:right w:w="108" w:type="dxa"/>
      </w:tblCellMar>
    </w:tblPr>
  </w:style>
  <w:style w:type="paragraph" w:styleId="11">
    <w:name w:val="caption"/>
    <w:basedOn w:val="1"/>
    <w:next w:val="1"/>
    <w:unhideWhenUsed/>
    <w:qFormat/>
    <w:uiPriority w:val="35"/>
    <w:pPr>
      <w:adjustRightInd w:val="0"/>
      <w:snapToGrid w:val="0"/>
      <w:spacing w:before="120" w:beforeLines="50" w:after="240" w:afterLines="100"/>
      <w:ind w:firstLine="0" w:firstLineChars="0"/>
      <w:jc w:val="center"/>
    </w:pPr>
    <w:rPr>
      <w:rFonts w:eastAsia="黑体" w:cstheme="majorBidi"/>
      <w:sz w:val="22"/>
      <w:szCs w:val="20"/>
    </w:rPr>
  </w:style>
  <w:style w:type="paragraph" w:styleId="12">
    <w:name w:val="annotation text"/>
    <w:basedOn w:val="1"/>
    <w:unhideWhenUsed/>
    <w:qFormat/>
    <w:uiPriority w:val="0"/>
    <w:pPr>
      <w:jc w:val="left"/>
    </w:pPr>
  </w:style>
  <w:style w:type="paragraph" w:styleId="13">
    <w:name w:val="Body Text"/>
    <w:basedOn w:val="1"/>
    <w:next w:val="1"/>
    <w:qFormat/>
    <w:uiPriority w:val="0"/>
    <w:pPr>
      <w:spacing w:afterLines="0" w:afterAutospacing="0"/>
    </w:pPr>
    <w:rPr>
      <w:rFonts w:ascii="Calibri" w:hAnsi="Calibri" w:eastAsia="宋体" w:cs="Times New Roman"/>
      <w:lang w:eastAsia="en-US"/>
    </w:rPr>
  </w:style>
  <w:style w:type="paragraph" w:styleId="14">
    <w:name w:val="Body Text Indent"/>
    <w:basedOn w:val="1"/>
    <w:link w:val="48"/>
    <w:qFormat/>
    <w:uiPriority w:val="0"/>
    <w:pPr>
      <w:spacing w:line="360" w:lineRule="auto"/>
      <w:ind w:firstLine="600" w:firstLineChars="200"/>
    </w:pPr>
    <w:rPr>
      <w:rFonts w:ascii="Times New Roman" w:hAnsi="Times New Roman" w:eastAsia="宋体"/>
      <w:sz w:val="24"/>
      <w:szCs w:val="24"/>
    </w:rPr>
  </w:style>
  <w:style w:type="paragraph" w:styleId="15">
    <w:name w:val="toc 3"/>
    <w:basedOn w:val="1"/>
    <w:next w:val="1"/>
    <w:unhideWhenUsed/>
    <w:qFormat/>
    <w:uiPriority w:val="39"/>
    <w:pPr>
      <w:ind w:left="200" w:leftChars="200" w:firstLine="200"/>
    </w:pPr>
  </w:style>
  <w:style w:type="paragraph" w:styleId="16">
    <w:name w:val="Plain Text"/>
    <w:basedOn w:val="1"/>
    <w:qFormat/>
    <w:uiPriority w:val="0"/>
    <w:rPr>
      <w:rFonts w:hAnsi="Courier New" w:cs="Times New Roman"/>
      <w:kern w:val="2"/>
      <w:sz w:val="21"/>
      <w:szCs w:val="20"/>
    </w:rPr>
  </w:style>
  <w:style w:type="paragraph" w:styleId="17">
    <w:name w:val="footer"/>
    <w:basedOn w:val="1"/>
    <w:unhideWhenUsed/>
    <w:qFormat/>
    <w:uiPriority w:val="99"/>
    <w:pPr>
      <w:tabs>
        <w:tab w:val="center" w:pos="4153"/>
        <w:tab w:val="right" w:pos="8306"/>
      </w:tabs>
      <w:snapToGrid w:val="0"/>
      <w:jc w:val="left"/>
    </w:pPr>
    <w:rPr>
      <w:sz w:val="18"/>
      <w:szCs w:val="18"/>
    </w:rPr>
  </w:style>
  <w:style w:type="paragraph" w:styleId="18">
    <w:name w:val="header"/>
    <w:basedOn w:val="1"/>
    <w:next w:val="19"/>
    <w:unhideWhenUsed/>
    <w:qFormat/>
    <w:uiPriority w:val="99"/>
    <w:pPr>
      <w:tabs>
        <w:tab w:val="center" w:pos="4153"/>
        <w:tab w:val="right" w:pos="8306"/>
      </w:tabs>
      <w:snapToGrid w:val="0"/>
      <w:jc w:val="center"/>
    </w:pPr>
    <w:rPr>
      <w:sz w:val="18"/>
      <w:szCs w:val="18"/>
    </w:rPr>
  </w:style>
  <w:style w:type="paragraph" w:customStyle="1" w:styleId="19">
    <w:name w:val="样式5"/>
    <w:basedOn w:val="20"/>
    <w:next w:val="1"/>
    <w:autoRedefine/>
    <w:qFormat/>
    <w:uiPriority w:val="99"/>
    <w:pPr>
      <w:keepNext w:val="0"/>
      <w:keepLines w:val="0"/>
      <w:tabs>
        <w:tab w:val="left" w:pos="1440"/>
      </w:tabs>
      <w:adjustRightInd w:val="0"/>
      <w:snapToGrid w:val="0"/>
      <w:spacing w:beforeLines="50" w:afterLines="50" w:line="480" w:lineRule="auto"/>
      <w:ind w:left="1440" w:firstLine="200"/>
    </w:pPr>
    <w:rPr>
      <w:rFonts w:ascii="Times New Roman" w:hAnsi="Times New Roman"/>
      <w:color w:val="000000"/>
      <w:sz w:val="24"/>
      <w:szCs w:val="30"/>
    </w:rPr>
  </w:style>
  <w:style w:type="paragraph" w:customStyle="1" w:styleId="20">
    <w:name w:val="正文1"/>
    <w:basedOn w:val="13"/>
    <w:next w:val="1"/>
    <w:autoRedefine/>
    <w:qFormat/>
    <w:uiPriority w:val="0"/>
    <w:pPr>
      <w:adjustRightInd w:val="0"/>
      <w:textAlignment w:val="baseline"/>
    </w:pPr>
    <w:rPr>
      <w:szCs w:val="20"/>
    </w:rPr>
  </w:style>
  <w:style w:type="paragraph" w:styleId="21">
    <w:name w:val="toc 1"/>
    <w:basedOn w:val="1"/>
    <w:next w:val="1"/>
    <w:unhideWhenUsed/>
    <w:qFormat/>
    <w:uiPriority w:val="39"/>
    <w:pPr>
      <w:tabs>
        <w:tab w:val="left" w:pos="426"/>
        <w:tab w:val="right" w:leader="dot" w:pos="8296"/>
      </w:tabs>
      <w:ind w:firstLine="0" w:firstLineChars="0"/>
    </w:pPr>
    <w:rPr>
      <w:b/>
    </w:rPr>
  </w:style>
  <w:style w:type="paragraph" w:styleId="22">
    <w:name w:val="List"/>
    <w:basedOn w:val="1"/>
    <w:qFormat/>
    <w:uiPriority w:val="0"/>
    <w:pPr>
      <w:spacing w:line="360" w:lineRule="exact"/>
      <w:jc w:val="center"/>
    </w:pPr>
    <w:rPr>
      <w:rFonts w:ascii="仿宋_GB2312" w:hAnsi="Times New Roman" w:eastAsia="仿宋_GB2312"/>
      <w:sz w:val="28"/>
      <w:szCs w:val="20"/>
    </w:rPr>
  </w:style>
  <w:style w:type="paragraph" w:styleId="23">
    <w:name w:val="toc 6"/>
    <w:basedOn w:val="1"/>
    <w:next w:val="1"/>
    <w:unhideWhenUsed/>
    <w:qFormat/>
    <w:uiPriority w:val="39"/>
    <w:pPr>
      <w:spacing w:line="240" w:lineRule="auto"/>
      <w:ind w:left="1050" w:firstLine="0" w:firstLineChars="0"/>
      <w:jc w:val="left"/>
    </w:pPr>
    <w:rPr>
      <w:szCs w:val="21"/>
    </w:rPr>
  </w:style>
  <w:style w:type="paragraph" w:styleId="24">
    <w:name w:val="toc 2"/>
    <w:basedOn w:val="1"/>
    <w:next w:val="1"/>
    <w:unhideWhenUsed/>
    <w:qFormat/>
    <w:uiPriority w:val="39"/>
    <w:pPr>
      <w:tabs>
        <w:tab w:val="left" w:pos="1134"/>
        <w:tab w:val="right" w:leader="dot" w:pos="8296"/>
      </w:tabs>
      <w:ind w:left="480" w:leftChars="200" w:firstLine="0" w:firstLineChars="0"/>
    </w:pPr>
  </w:style>
  <w:style w:type="paragraph" w:styleId="25">
    <w:name w:val="Normal (Web)"/>
    <w:basedOn w:val="1"/>
    <w:semiHidden/>
    <w:unhideWhenUsed/>
    <w:qFormat/>
    <w:uiPriority w:val="99"/>
    <w:rPr>
      <w:rFonts w:cs="Times New Roman"/>
      <w:szCs w:val="24"/>
    </w:rPr>
  </w:style>
  <w:style w:type="paragraph" w:styleId="26">
    <w:name w:val="Title"/>
    <w:basedOn w:val="1"/>
    <w:next w:val="1"/>
    <w:qFormat/>
    <w:uiPriority w:val="10"/>
    <w:pPr>
      <w:spacing w:before="240" w:after="60"/>
      <w:jc w:val="center"/>
      <w:outlineLvl w:val="0"/>
    </w:pPr>
    <w:rPr>
      <w:rFonts w:asciiTheme="majorHAnsi" w:hAnsiTheme="majorHAnsi" w:cstheme="majorBidi"/>
      <w:b/>
      <w:bCs/>
      <w:sz w:val="32"/>
      <w:szCs w:val="32"/>
    </w:rPr>
  </w:style>
  <w:style w:type="paragraph" w:styleId="27">
    <w:name w:val="Body Text First Indent"/>
    <w:basedOn w:val="13"/>
    <w:next w:val="23"/>
    <w:qFormat/>
    <w:uiPriority w:val="0"/>
    <w:pPr>
      <w:spacing w:line="480" w:lineRule="exact"/>
      <w:ind w:firstLine="420" w:firstLineChars="100"/>
    </w:pPr>
    <w:rPr>
      <w:rFonts w:eastAsia="Times New Roman"/>
      <w:kern w:val="0"/>
      <w:sz w:val="28"/>
    </w:rPr>
  </w:style>
  <w:style w:type="paragraph" w:styleId="28">
    <w:name w:val="Body Text First Indent 2"/>
    <w:basedOn w:val="14"/>
    <w:qFormat/>
    <w:uiPriority w:val="0"/>
    <w:pPr>
      <w:ind w:firstLine="420" w:firstLineChars="200"/>
    </w:p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Hyperlink"/>
    <w:basedOn w:val="31"/>
    <w:unhideWhenUsed/>
    <w:qFormat/>
    <w:uiPriority w:val="99"/>
    <w:rPr>
      <w:color w:val="0563C1" w:themeColor="hyperlink"/>
      <w:u w:val="single"/>
      <w14:textFill>
        <w14:solidFill>
          <w14:schemeClr w14:val="hlink"/>
        </w14:solidFill>
      </w14:textFill>
    </w:rPr>
  </w:style>
  <w:style w:type="character" w:styleId="33">
    <w:name w:val="annotation reference"/>
    <w:basedOn w:val="31"/>
    <w:semiHidden/>
    <w:unhideWhenUsed/>
    <w:qFormat/>
    <w:uiPriority w:val="0"/>
    <w:rPr>
      <w:sz w:val="21"/>
      <w:szCs w:val="21"/>
    </w:rPr>
  </w:style>
  <w:style w:type="character" w:customStyle="1" w:styleId="34">
    <w:name w:val="标题 1 Char"/>
    <w:basedOn w:val="31"/>
    <w:link w:val="2"/>
    <w:qFormat/>
    <w:uiPriority w:val="0"/>
    <w:rPr>
      <w:rFonts w:ascii="Times New Roman" w:hAnsi="Times New Roman" w:eastAsia="宋体" w:cs="宋体"/>
      <w:b/>
      <w:bCs/>
      <w:kern w:val="44"/>
      <w:sz w:val="28"/>
      <w:szCs w:val="44"/>
    </w:rPr>
  </w:style>
  <w:style w:type="character" w:customStyle="1" w:styleId="35">
    <w:name w:val="标题 2 Char"/>
    <w:basedOn w:val="31"/>
    <w:link w:val="3"/>
    <w:qFormat/>
    <w:uiPriority w:val="0"/>
    <w:rPr>
      <w:rFonts w:ascii="Times New Roman" w:hAnsi="Times New Roman" w:eastAsia="宋体" w:cs="宋体"/>
      <w:b/>
      <w:bCs/>
      <w:kern w:val="2"/>
      <w:sz w:val="24"/>
      <w:szCs w:val="24"/>
      <w:lang w:eastAsia="zh-CN"/>
    </w:rPr>
  </w:style>
  <w:style w:type="character" w:customStyle="1" w:styleId="36">
    <w:name w:val="标题 3 Char"/>
    <w:basedOn w:val="31"/>
    <w:link w:val="4"/>
    <w:qFormat/>
    <w:uiPriority w:val="0"/>
    <w:rPr>
      <w:rFonts w:ascii="Times New Roman" w:hAnsi="Times New Roman" w:eastAsia="宋体" w:cs="宋体"/>
      <w:b/>
      <w:bCs/>
      <w:kern w:val="2"/>
      <w:sz w:val="24"/>
      <w:szCs w:val="32"/>
      <w:lang w:eastAsia="zh-CN"/>
    </w:rPr>
  </w:style>
  <w:style w:type="character" w:customStyle="1" w:styleId="37">
    <w:name w:val="标题 4 Char"/>
    <w:link w:val="5"/>
    <w:qFormat/>
    <w:uiPriority w:val="0"/>
    <w:rPr>
      <w:rFonts w:ascii="Times New Roman" w:hAnsi="Times New Roman" w:eastAsia="宋体"/>
      <w:b/>
      <w:bCs/>
      <w:sz w:val="24"/>
      <w:szCs w:val="28"/>
      <w:lang w:val="zh-CN"/>
    </w:rPr>
  </w:style>
  <w:style w:type="paragraph" w:customStyle="1" w:styleId="38">
    <w:name w:val="图表"/>
    <w:basedOn w:val="1"/>
    <w:qFormat/>
    <w:uiPriority w:val="0"/>
    <w:pPr>
      <w:spacing w:line="360" w:lineRule="auto"/>
      <w:ind w:firstLine="0" w:firstLineChars="0"/>
      <w:jc w:val="center"/>
    </w:pPr>
    <w:rPr>
      <w:sz w:val="21"/>
    </w:rPr>
  </w:style>
  <w:style w:type="paragraph" w:customStyle="1" w:styleId="39">
    <w:name w:val="图片"/>
    <w:basedOn w:val="1"/>
    <w:next w:val="1"/>
    <w:qFormat/>
    <w:uiPriority w:val="0"/>
    <w:pPr>
      <w:spacing w:after="50" w:afterLines="50" w:line="240" w:lineRule="auto"/>
      <w:ind w:firstLine="0" w:firstLineChars="0"/>
      <w:jc w:val="center"/>
    </w:pPr>
    <w:rPr>
      <w:rFonts w:ascii="Calibri" w:hAnsi="Calibri" w:eastAsia="宋体" w:cs="Times New Roman"/>
      <w:sz w:val="21"/>
      <w:lang w:eastAsia="en-US"/>
    </w:rPr>
  </w:style>
  <w:style w:type="paragraph" w:customStyle="1" w:styleId="40">
    <w:name w:val="表格"/>
    <w:basedOn w:val="1"/>
    <w:qFormat/>
    <w:uiPriority w:val="0"/>
    <w:pPr>
      <w:spacing w:before="50" w:beforeLines="50" w:line="240" w:lineRule="auto"/>
      <w:ind w:firstLine="0" w:firstLineChars="0"/>
      <w:jc w:val="center"/>
    </w:pPr>
    <w:rPr>
      <w:rFonts w:ascii="Calibri" w:hAnsi="Calibri" w:eastAsia="宋体" w:cs="Times New Roman"/>
      <w:sz w:val="21"/>
      <w:lang w:eastAsia="en-US"/>
    </w:rPr>
  </w:style>
  <w:style w:type="paragraph" w:customStyle="1" w:styleId="41">
    <w:name w:val="图"/>
    <w:basedOn w:val="1"/>
    <w:qFormat/>
    <w:uiPriority w:val="0"/>
    <w:pPr>
      <w:spacing w:after="50" w:afterLines="50" w:line="240" w:lineRule="auto"/>
      <w:ind w:firstLine="0" w:firstLineChars="0"/>
      <w:jc w:val="center"/>
    </w:pPr>
    <w:rPr>
      <w:rFonts w:cs="Times New Roman"/>
      <w:sz w:val="21"/>
    </w:rPr>
  </w:style>
  <w:style w:type="paragraph" w:customStyle="1" w:styleId="42">
    <w:name w:val="表"/>
    <w:basedOn w:val="1"/>
    <w:qFormat/>
    <w:uiPriority w:val="0"/>
    <w:pPr>
      <w:spacing w:before="50" w:beforeLines="50" w:line="240" w:lineRule="auto"/>
      <w:ind w:firstLine="0" w:firstLineChars="0"/>
      <w:jc w:val="center"/>
    </w:pPr>
    <w:rPr>
      <w:rFonts w:cs="Times New Roman"/>
      <w:sz w:val="21"/>
    </w:rPr>
  </w:style>
  <w:style w:type="paragraph" w:customStyle="1" w:styleId="43">
    <w:name w:val="图名"/>
    <w:next w:val="1"/>
    <w:qFormat/>
    <w:uiPriority w:val="0"/>
    <w:pPr>
      <w:numPr>
        <w:ilvl w:val="4"/>
        <w:numId w:val="2"/>
      </w:numPr>
      <w:spacing w:after="50" w:afterLines="50"/>
      <w:ind w:left="2127"/>
      <w:jc w:val="center"/>
    </w:pPr>
    <w:rPr>
      <w:rFonts w:ascii="Times New Roman" w:hAnsi="Times New Roman" w:eastAsia="宋体" w:cstheme="minorBidi"/>
      <w:kern w:val="2"/>
      <w:sz w:val="21"/>
      <w:szCs w:val="21"/>
      <w:lang w:val="en-US" w:eastAsia="zh-CN" w:bidi="ar-SA"/>
    </w:rPr>
  </w:style>
  <w:style w:type="paragraph" w:customStyle="1" w:styleId="44">
    <w:name w:val="表头"/>
    <w:next w:val="1"/>
    <w:qFormat/>
    <w:uiPriority w:val="0"/>
    <w:pPr>
      <w:numPr>
        <w:ilvl w:val="5"/>
        <w:numId w:val="2"/>
      </w:numPr>
      <w:spacing w:before="50" w:beforeLines="50"/>
      <w:ind w:left="0"/>
      <w:jc w:val="center"/>
    </w:pPr>
    <w:rPr>
      <w:rFonts w:ascii="Times New Roman" w:hAnsi="Times New Roman" w:eastAsia="宋体" w:cstheme="minorBidi"/>
      <w:kern w:val="2"/>
      <w:sz w:val="21"/>
      <w:szCs w:val="21"/>
      <w:lang w:val="en-US" w:eastAsia="zh-CN" w:bidi="ar-SA"/>
    </w:rPr>
  </w:style>
  <w:style w:type="paragraph" w:customStyle="1" w:styleId="45">
    <w:name w:val="表格内容"/>
    <w:basedOn w:val="1"/>
    <w:qFormat/>
    <w:uiPriority w:val="0"/>
    <w:pPr>
      <w:spacing w:line="240" w:lineRule="auto"/>
      <w:ind w:firstLine="0" w:firstLineChars="0"/>
      <w:jc w:val="center"/>
    </w:pPr>
    <w:rPr>
      <w:rFonts w:ascii="Times New Roman" w:hAnsi="Times New Roman"/>
      <w:sz w:val="21"/>
    </w:rPr>
  </w:style>
  <w:style w:type="paragraph" w:customStyle="1" w:styleId="46">
    <w:name w:val="表格标题"/>
    <w:basedOn w:val="1"/>
    <w:next w:val="1"/>
    <w:link w:val="71"/>
    <w:qFormat/>
    <w:uiPriority w:val="0"/>
    <w:pPr>
      <w:spacing w:before="50" w:beforeLines="50" w:line="240" w:lineRule="auto"/>
      <w:ind w:firstLine="0" w:firstLineChars="0"/>
      <w:jc w:val="center"/>
    </w:pPr>
    <w:rPr>
      <w:rFonts w:ascii="Calibri" w:hAnsi="Calibri" w:eastAsia="宋体" w:cs="Times New Roman"/>
      <w:sz w:val="21"/>
      <w:lang w:eastAsia="en-US"/>
    </w:rPr>
  </w:style>
  <w:style w:type="paragraph" w:customStyle="1" w:styleId="47">
    <w:name w:val="图片标题"/>
    <w:basedOn w:val="1"/>
    <w:next w:val="1"/>
    <w:link w:val="58"/>
    <w:qFormat/>
    <w:uiPriority w:val="0"/>
    <w:pPr>
      <w:spacing w:after="50" w:afterLines="50" w:line="240" w:lineRule="auto"/>
      <w:ind w:firstLine="0" w:firstLineChars="0"/>
      <w:jc w:val="center"/>
    </w:pPr>
    <w:rPr>
      <w:rFonts w:ascii="Calibri" w:hAnsi="Calibri" w:eastAsia="宋体" w:cs="Times New Roman"/>
      <w:sz w:val="21"/>
      <w:lang w:eastAsia="en-US"/>
    </w:rPr>
  </w:style>
  <w:style w:type="character" w:customStyle="1" w:styleId="48">
    <w:name w:val="正文文本缩进 Char"/>
    <w:basedOn w:val="31"/>
    <w:link w:val="14"/>
    <w:qFormat/>
    <w:uiPriority w:val="0"/>
    <w:rPr>
      <w:rFonts w:ascii="Times New Roman" w:hAnsi="Times New Roman" w:eastAsia="宋体"/>
      <w:kern w:val="2"/>
      <w:sz w:val="24"/>
      <w:szCs w:val="24"/>
    </w:rPr>
  </w:style>
  <w:style w:type="paragraph" w:customStyle="1" w:styleId="49">
    <w:name w:val="样式 正文文本缩进 + 行距: 1.5 倍行距"/>
    <w:basedOn w:val="50"/>
    <w:next w:val="18"/>
    <w:autoRedefine/>
    <w:qFormat/>
    <w:uiPriority w:val="0"/>
    <w:pPr>
      <w:spacing w:line="360" w:lineRule="auto"/>
      <w:ind w:left="90" w:leftChars="32" w:firstLine="560" w:firstLineChars="200"/>
    </w:pPr>
  </w:style>
  <w:style w:type="paragraph" w:customStyle="1" w:styleId="50">
    <w:name w:val="正文文本缩进1"/>
    <w:basedOn w:val="20"/>
    <w:next w:val="49"/>
    <w:autoRedefine/>
    <w:qFormat/>
    <w:uiPriority w:val="0"/>
    <w:pPr>
      <w:spacing w:after="120"/>
      <w:ind w:left="420" w:leftChars="200"/>
    </w:pPr>
    <w:rPr>
      <w:rFonts w:ascii="Times New Roman" w:hAnsi="Times New Roman"/>
    </w:rPr>
  </w:style>
  <w:style w:type="paragraph" w:customStyle="1" w:styleId="51">
    <w:name w:val="Date1"/>
    <w:next w:val="1"/>
    <w:autoRedefine/>
    <w:qFormat/>
    <w:uiPriority w:val="0"/>
    <w:pPr>
      <w:widowControl w:val="0"/>
      <w:jc w:val="both"/>
    </w:pPr>
    <w:rPr>
      <w:rFonts w:ascii="Calibri" w:hAnsi="Calibri" w:eastAsia="宋体" w:cs="Times New Roman"/>
      <w:kern w:val="2"/>
      <w:sz w:val="21"/>
      <w:lang w:val="en-US" w:eastAsia="zh-CN" w:bidi="ar-SA"/>
    </w:rPr>
  </w:style>
  <w:style w:type="paragraph" w:customStyle="1" w:styleId="52">
    <w:name w:val="TOC 标题1"/>
    <w:basedOn w:val="2"/>
    <w:next w:val="1"/>
    <w:unhideWhenUsed/>
    <w:qFormat/>
    <w:uiPriority w:val="39"/>
    <w:pPr>
      <w:pageBreakBefore w:val="0"/>
      <w:widowControl/>
      <w:numPr>
        <w:numId w:val="0"/>
      </w:numPr>
      <w:adjustRightInd/>
      <w:snapToGrid/>
      <w:spacing w:beforeLines="0" w:afterLines="0" w:line="259" w:lineRule="auto"/>
      <w:outlineLvl w:val="9"/>
    </w:pPr>
    <w:rPr>
      <w:rFonts w:asciiTheme="majorHAnsi" w:hAnsiTheme="majorHAnsi" w:eastAsiaTheme="majorEastAsia" w:cstheme="majorBidi"/>
      <w:b w:val="0"/>
      <w:color w:val="2E75B6" w:themeColor="accent1" w:themeShade="BF"/>
      <w:kern w:val="0"/>
      <w:sz w:val="32"/>
      <w:szCs w:val="32"/>
    </w:rPr>
  </w:style>
  <w:style w:type="paragraph" w:customStyle="1" w:styleId="53">
    <w:name w:val="表格字体"/>
    <w:basedOn w:val="1"/>
    <w:qFormat/>
    <w:uiPriority w:val="0"/>
    <w:pPr>
      <w:adjustRightInd w:val="0"/>
      <w:snapToGrid w:val="0"/>
      <w:spacing w:before="50" w:beforeLines="50" w:after="50" w:afterLines="50"/>
      <w:ind w:firstLine="0" w:firstLineChars="0"/>
      <w:jc w:val="center"/>
    </w:pPr>
    <w:rPr>
      <w:rFonts w:cs="Times New Roman"/>
      <w:bCs/>
      <w:snapToGrid w:val="0"/>
      <w:color w:val="000000" w:themeColor="text1"/>
      <w:kern w:val="0"/>
      <w:sz w:val="21"/>
      <w:szCs w:val="21"/>
      <w14:textFill>
        <w14:solidFill>
          <w14:schemeClr w14:val="tx1"/>
        </w14:solidFill>
      </w14:textFill>
    </w:rPr>
  </w:style>
  <w:style w:type="paragraph" w:customStyle="1" w:styleId="54">
    <w:name w:val="表&amp;图标题"/>
    <w:basedOn w:val="11"/>
    <w:qFormat/>
    <w:uiPriority w:val="0"/>
    <w:pPr>
      <w:spacing w:before="240" w:beforeLines="100" w:after="120" w:afterLines="50"/>
    </w:pPr>
  </w:style>
  <w:style w:type="paragraph" w:styleId="55">
    <w:name w:val="List Paragraph"/>
    <w:basedOn w:val="1"/>
    <w:qFormat/>
    <w:uiPriority w:val="34"/>
    <w:pPr>
      <w:ind w:firstLine="420"/>
    </w:pPr>
  </w:style>
  <w:style w:type="paragraph" w:customStyle="1" w:styleId="56">
    <w:name w:val="表标题"/>
    <w:basedOn w:val="11"/>
    <w:qFormat/>
    <w:uiPriority w:val="0"/>
    <w:pPr>
      <w:spacing w:before="0" w:beforeLines="100" w:after="0" w:afterLines="50"/>
    </w:pPr>
    <w:rPr>
      <w:rFonts w:cs="Times New Roman"/>
    </w:rPr>
  </w:style>
  <w:style w:type="paragraph" w:customStyle="1" w:styleId="57">
    <w:name w:val="Table Paragraph"/>
    <w:basedOn w:val="1"/>
    <w:qFormat/>
    <w:uiPriority w:val="1"/>
  </w:style>
  <w:style w:type="character" w:customStyle="1" w:styleId="58">
    <w:name w:val="图片标题 Char"/>
    <w:link w:val="47"/>
    <w:qFormat/>
    <w:uiPriority w:val="0"/>
    <w:rPr>
      <w:rFonts w:ascii="Calibri" w:hAnsi="Calibri" w:eastAsia="宋体" w:cs="Times New Roman"/>
      <w:sz w:val="21"/>
      <w:lang w:eastAsia="en-US"/>
    </w:rPr>
  </w:style>
  <w:style w:type="paragraph" w:customStyle="1" w:styleId="59">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 w:val="20"/>
      <w:lang w:eastAsia="en-US"/>
    </w:rPr>
  </w:style>
  <w:style w:type="character" w:customStyle="1" w:styleId="60">
    <w:name w:val="font21"/>
    <w:basedOn w:val="31"/>
    <w:qFormat/>
    <w:uiPriority w:val="0"/>
    <w:rPr>
      <w:rFonts w:hint="eastAsia" w:ascii="宋体" w:hAnsi="宋体" w:eastAsia="宋体" w:cs="宋体"/>
      <w:color w:val="000000"/>
      <w:sz w:val="20"/>
      <w:szCs w:val="20"/>
      <w:u w:val="none"/>
      <w:vertAlign w:val="superscript"/>
    </w:rPr>
  </w:style>
  <w:style w:type="character" w:customStyle="1" w:styleId="61">
    <w:name w:val="font11"/>
    <w:basedOn w:val="31"/>
    <w:qFormat/>
    <w:uiPriority w:val="0"/>
    <w:rPr>
      <w:rFonts w:hint="eastAsia" w:ascii="宋体" w:hAnsi="宋体" w:eastAsia="宋体" w:cs="宋体"/>
      <w:color w:val="000000"/>
      <w:sz w:val="20"/>
      <w:szCs w:val="20"/>
      <w:u w:val="none"/>
    </w:rPr>
  </w:style>
  <w:style w:type="character" w:customStyle="1" w:styleId="62">
    <w:name w:val="font31"/>
    <w:qFormat/>
    <w:uiPriority w:val="0"/>
    <w:rPr>
      <w:rFonts w:hint="eastAsia" w:ascii="宋体" w:hAnsi="宋体" w:eastAsia="宋体" w:cs="宋体"/>
      <w:color w:val="000000"/>
      <w:sz w:val="20"/>
      <w:szCs w:val="20"/>
      <w:u w:val="none"/>
      <w:vertAlign w:val="superscript"/>
    </w:rPr>
  </w:style>
  <w:style w:type="character" w:customStyle="1" w:styleId="63">
    <w:name w:val="font71"/>
    <w:qFormat/>
    <w:uiPriority w:val="0"/>
    <w:rPr>
      <w:rFonts w:hint="eastAsia" w:ascii="宋体" w:hAnsi="宋体" w:eastAsia="宋体" w:cs="宋体"/>
      <w:color w:val="000000"/>
      <w:sz w:val="20"/>
      <w:szCs w:val="20"/>
      <w:u w:val="none"/>
      <w:vertAlign w:val="superscript"/>
    </w:rPr>
  </w:style>
  <w:style w:type="character" w:customStyle="1" w:styleId="64">
    <w:name w:val="font81"/>
    <w:qFormat/>
    <w:uiPriority w:val="0"/>
    <w:rPr>
      <w:rFonts w:hint="eastAsia" w:ascii="宋体" w:hAnsi="宋体" w:eastAsia="宋体" w:cs="宋体"/>
      <w:color w:val="000000"/>
      <w:sz w:val="20"/>
      <w:szCs w:val="20"/>
      <w:u w:val="none"/>
      <w:vertAlign w:val="superscript"/>
    </w:rPr>
  </w:style>
  <w:style w:type="character" w:customStyle="1" w:styleId="65">
    <w:name w:val="font41"/>
    <w:qFormat/>
    <w:uiPriority w:val="0"/>
    <w:rPr>
      <w:rFonts w:hint="eastAsia" w:ascii="宋体" w:hAnsi="宋体" w:eastAsia="宋体" w:cs="宋体"/>
      <w:color w:val="FF0000"/>
      <w:sz w:val="20"/>
      <w:szCs w:val="20"/>
      <w:u w:val="none"/>
      <w:vertAlign w:val="superscript"/>
    </w:rPr>
  </w:style>
  <w:style w:type="character" w:customStyle="1" w:styleId="66">
    <w:name w:val="NormalCharacter"/>
    <w:semiHidden/>
    <w:qFormat/>
    <w:uiPriority w:val="0"/>
    <w:rPr>
      <w:kern w:val="2"/>
      <w:sz w:val="21"/>
      <w:szCs w:val="22"/>
      <w:lang w:val="en-US" w:eastAsia="zh-CN" w:bidi="ar-SA"/>
    </w:rPr>
  </w:style>
  <w:style w:type="paragraph" w:customStyle="1" w:styleId="67">
    <w:name w:val="报告书表格"/>
    <w:basedOn w:val="1"/>
    <w:qFormat/>
    <w:uiPriority w:val="0"/>
    <w:pPr>
      <w:adjustRightInd w:val="0"/>
      <w:spacing w:line="400" w:lineRule="exact"/>
      <w:jc w:val="center"/>
      <w:textAlignment w:val="baseline"/>
    </w:pPr>
    <w:rPr>
      <w:rFonts w:ascii="Times New Roman" w:hAnsi="Times New Roman" w:eastAsia="仿宋_GB2312"/>
      <w:kern w:val="0"/>
      <w:sz w:val="24"/>
      <w:szCs w:val="20"/>
    </w:rPr>
  </w:style>
  <w:style w:type="character" w:customStyle="1" w:styleId="68">
    <w:name w:val="highlight1"/>
    <w:qFormat/>
    <w:uiPriority w:val="0"/>
    <w:rPr>
      <w:sz w:val="21"/>
      <w:szCs w:val="21"/>
    </w:rPr>
  </w:style>
  <w:style w:type="paragraph" w:customStyle="1" w:styleId="69">
    <w:name w:val="报告表格"/>
    <w:basedOn w:val="1"/>
    <w:qFormat/>
    <w:uiPriority w:val="0"/>
    <w:pPr>
      <w:autoSpaceDE w:val="0"/>
      <w:autoSpaceDN w:val="0"/>
      <w:adjustRightInd w:val="0"/>
      <w:jc w:val="center"/>
    </w:pPr>
    <w:rPr>
      <w:rFonts w:ascii="宋体"/>
      <w:color w:val="000000"/>
      <w:kern w:val="0"/>
      <w:szCs w:val="20"/>
    </w:rPr>
  </w:style>
  <w:style w:type="paragraph" w:customStyle="1" w:styleId="70">
    <w:name w:val="Default"/>
    <w:unhideWhenUsed/>
    <w:qFormat/>
    <w:uiPriority w:val="99"/>
    <w:pPr>
      <w:widowControl w:val="0"/>
      <w:autoSpaceDE w:val="0"/>
      <w:autoSpaceDN w:val="0"/>
      <w:adjustRightInd w:val="0"/>
      <w:spacing w:beforeLines="0" w:afterLines="0"/>
    </w:pPr>
    <w:rPr>
      <w:rFonts w:hint="eastAsia" w:ascii="黑体" w:hAnsi="黑体" w:eastAsia="黑体" w:cs="Times New Roman"/>
      <w:color w:val="000000"/>
      <w:sz w:val="24"/>
    </w:rPr>
  </w:style>
  <w:style w:type="character" w:customStyle="1" w:styleId="71">
    <w:name w:val="表格标题 Char"/>
    <w:link w:val="46"/>
    <w:qFormat/>
    <w:uiPriority w:val="0"/>
    <w:rPr>
      <w:rFonts w:ascii="Calibri" w:hAnsi="Calibri" w:eastAsia="宋体" w:cs="Times New Roman"/>
      <w:sz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2.jpeg"/><Relationship Id="rId6" Type="http://schemas.openxmlformats.org/officeDocument/2006/relationships/header" Target="head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jpe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3399</Words>
  <Characters>4316</Characters>
  <Lines>0</Lines>
  <Paragraphs>0</Paragraphs>
  <TotalTime>29</TotalTime>
  <ScaleCrop>false</ScaleCrop>
  <LinksUpToDate>false</LinksUpToDate>
  <CharactersWithSpaces>4636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2025-01-16T02:54:00Z</dcterms:created>
  <dc:creator>hello～</dc:creator>
  <cp:lastModifiedBy>Administrator</cp:lastModifiedBy>
  <dcterms:modified xsi:type="dcterms:W3CDTF">2025-04-27T05:26:24Z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eyJoZGlkIjoiNGNiOWFhZWVmM2NmYTU5OGUxYTkwNjhkODc4YTU1MDIifQ==</vt:lpwstr>
  </property>
  <property fmtid="{D5CDD505-2E9C-101B-9397-08002B2CF9AE}" pid="4" name="ICV">
    <vt:lpwstr>0F481090000A461B92777FDB022FF033_13</vt:lpwstr>
  </property>
</Properties>
</file>